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980F" w14:textId="77777777" w:rsidR="00925EB7" w:rsidRPr="00AE0F1B" w:rsidRDefault="00F32753" w:rsidP="007E184B">
      <w:pPr>
        <w:spacing w:after="60" w:line="276" w:lineRule="auto"/>
        <w:jc w:val="center"/>
      </w:pPr>
      <w:r w:rsidRPr="00AE0F1B">
        <w:rPr>
          <w:b/>
          <w:bCs/>
          <w:color w:val="1F3864"/>
        </w:rPr>
        <w:t>London Academy for Applied Technology (LAAT)</w:t>
      </w:r>
    </w:p>
    <w:p w14:paraId="45636E10" w14:textId="77777777" w:rsidR="00925EB7" w:rsidRPr="00AE0F1B" w:rsidRDefault="00F32753" w:rsidP="007E184B">
      <w:pPr>
        <w:spacing w:after="60" w:line="276" w:lineRule="auto"/>
        <w:jc w:val="center"/>
      </w:pPr>
      <w:r w:rsidRPr="00AE0F1B">
        <w:rPr>
          <w:b/>
          <w:bCs/>
          <w:color w:val="1F3864"/>
        </w:rPr>
        <w:t>Board of Governors</w:t>
      </w:r>
    </w:p>
    <w:p w14:paraId="128223F9" w14:textId="77777777" w:rsidR="00925EB7" w:rsidRPr="00AE0F1B" w:rsidRDefault="00F32753" w:rsidP="007E184B">
      <w:pPr>
        <w:spacing w:after="80" w:line="276" w:lineRule="auto"/>
        <w:jc w:val="center"/>
      </w:pPr>
      <w:r w:rsidRPr="00AE0F1B">
        <w:rPr>
          <w:b/>
          <w:bCs/>
          <w:color w:val="1F3864"/>
        </w:rPr>
        <w:t>Board Effectiveness Statement 2025–26</w:t>
      </w:r>
    </w:p>
    <w:p w14:paraId="25AAB7DD" w14:textId="77777777" w:rsidR="00925EB7" w:rsidRPr="00AE0F1B" w:rsidRDefault="00F32753" w:rsidP="007E184B">
      <w:pPr>
        <w:pBdr>
          <w:bottom w:val="single" w:sz="6" w:space="8" w:color="1F3864"/>
        </w:pBdr>
        <w:spacing w:after="240" w:line="276" w:lineRule="auto"/>
        <w:jc w:val="center"/>
      </w:pPr>
      <w:r w:rsidRPr="00AE0F1B">
        <w:rPr>
          <w:i/>
          <w:iCs/>
          <w:color w:val="666666"/>
        </w:rPr>
        <w:t>Approved by the Board of Governors – [Date of Approval]</w:t>
      </w:r>
    </w:p>
    <w:p w14:paraId="215C59CD" w14:textId="77777777" w:rsidR="00925EB7" w:rsidRPr="00AE0F1B" w:rsidRDefault="00F32753" w:rsidP="007E184B">
      <w:pPr>
        <w:pBdr>
          <w:bottom w:val="single" w:sz="3" w:space="4" w:color="1F3864"/>
        </w:pBdr>
        <w:spacing w:before="300" w:after="140" w:line="276" w:lineRule="auto"/>
      </w:pPr>
      <w:r w:rsidRPr="00AE0F1B">
        <w:rPr>
          <w:b/>
          <w:bCs/>
          <w:color w:val="1F3864"/>
        </w:rPr>
        <w:t>1. Purpose and Regulatory Context</w:t>
      </w:r>
    </w:p>
    <w:p w14:paraId="6EEDD002" w14:textId="77777777" w:rsidR="00925EB7" w:rsidRPr="00AE0F1B" w:rsidRDefault="00F32753" w:rsidP="007E184B">
      <w:pPr>
        <w:spacing w:after="120" w:line="276" w:lineRule="auto"/>
        <w:jc w:val="both"/>
      </w:pPr>
      <w:r w:rsidRPr="00AE0F1B">
        <w:t>This statement sets out the Board of Governors’ assessment of its own effectiveness during the 2025–26 academic year. It is prepared in accordance with the Office for Students (OfS) Regulatory Framework, the Public Interest Governance Principles, and the Committee of University Chairs (CUC) Higher Education Code of Governance.</w:t>
      </w:r>
    </w:p>
    <w:p w14:paraId="3451C1F5" w14:textId="77777777" w:rsidR="00925EB7" w:rsidRPr="00AE0F1B" w:rsidRDefault="00F32753" w:rsidP="007E184B">
      <w:pPr>
        <w:spacing w:after="120" w:line="276" w:lineRule="auto"/>
        <w:jc w:val="both"/>
      </w:pPr>
      <w:r w:rsidRPr="00AE0F1B">
        <w:t>The Board is the governing body of the London Academy for Applied Technology (LAAT) and is responsible for the institution’s strategic direction, academic quality and standards, financial sustainability, risk management, and the protection of the student interest. This statement is intended to provide assurance to the OfS, students, staff, and other stakeholders that the Board discharges these responsibilities effectively.</w:t>
      </w:r>
    </w:p>
    <w:p w14:paraId="3F8A96C4" w14:textId="77777777" w:rsidR="00925EB7" w:rsidRPr="00AE0F1B" w:rsidRDefault="00F32753" w:rsidP="007E184B">
      <w:pPr>
        <w:pBdr>
          <w:bottom w:val="single" w:sz="3" w:space="4" w:color="1F3864"/>
        </w:pBdr>
        <w:spacing w:before="300" w:after="140" w:line="276" w:lineRule="auto"/>
      </w:pPr>
      <w:r w:rsidRPr="00AE0F1B">
        <w:rPr>
          <w:b/>
          <w:bCs/>
          <w:color w:val="1F3864"/>
        </w:rPr>
        <w:t>2. Board Structure and Composition</w:t>
      </w:r>
    </w:p>
    <w:p w14:paraId="42C6B0F9" w14:textId="1A1AE2F2" w:rsidR="00925EB7" w:rsidRPr="00AE0F1B" w:rsidRDefault="00F32753" w:rsidP="007E184B">
      <w:pPr>
        <w:spacing w:after="120" w:line="276" w:lineRule="auto"/>
      </w:pPr>
      <w:r w:rsidRPr="00AE0F1B">
        <w:t>The Board comprises a balance of independent and executive members. As of April 2026, the Board includes:</w:t>
      </w:r>
    </w:p>
    <w:p w14:paraId="5B801D24" w14:textId="36A3CA2A" w:rsidR="00925EB7" w:rsidRPr="00AE0F1B" w:rsidRDefault="00B1183F" w:rsidP="007E184B">
      <w:pPr>
        <w:pStyle w:val="ListParagraph"/>
        <w:numPr>
          <w:ilvl w:val="0"/>
          <w:numId w:val="1"/>
        </w:numPr>
        <w:spacing w:after="120" w:line="276" w:lineRule="auto"/>
        <w:jc w:val="both"/>
      </w:pPr>
      <w:r w:rsidRPr="00AE0F1B">
        <w:t>Four independent governors (Dr Sarah McAdam, Dr Simon Evans, Dr Mark Bentley, Mr Bola Makinde), each bringing expertise in higher education governance, finance, and professional services.</w:t>
      </w:r>
    </w:p>
    <w:p w14:paraId="5CEAE25E" w14:textId="23611363" w:rsidR="00925EB7" w:rsidRPr="00AE0F1B" w:rsidRDefault="00F32753" w:rsidP="007E184B">
      <w:pPr>
        <w:pStyle w:val="ListParagraph"/>
        <w:numPr>
          <w:ilvl w:val="0"/>
          <w:numId w:val="1"/>
        </w:numPr>
        <w:spacing w:after="120" w:line="276" w:lineRule="auto"/>
        <w:jc w:val="both"/>
      </w:pPr>
      <w:r w:rsidRPr="00AE0F1B">
        <w:t xml:space="preserve">Executive </w:t>
      </w:r>
      <w:r w:rsidR="006E693C" w:rsidRPr="00AE0F1B">
        <w:t>Governor</w:t>
      </w:r>
      <w:r w:rsidRPr="00AE0F1B">
        <w:t xml:space="preserve"> </w:t>
      </w:r>
      <w:r w:rsidR="00350D4F" w:rsidRPr="00AE0F1B">
        <w:t>which is</w:t>
      </w:r>
      <w:r w:rsidRPr="00AE0F1B">
        <w:t xml:space="preserve"> the Dean (Dr Manoj Ponugubati</w:t>
      </w:r>
      <w:r w:rsidR="00B1183F" w:rsidRPr="00AE0F1B">
        <w:t>),</w:t>
      </w:r>
      <w:r w:rsidRPr="00AE0F1B">
        <w:t xml:space="preserve"> the Operations Director, and senior directors.</w:t>
      </w:r>
    </w:p>
    <w:p w14:paraId="39FB0664" w14:textId="77777777" w:rsidR="00925EB7" w:rsidRPr="00AE0F1B" w:rsidRDefault="00F32753" w:rsidP="007E184B">
      <w:pPr>
        <w:pStyle w:val="ListParagraph"/>
        <w:numPr>
          <w:ilvl w:val="0"/>
          <w:numId w:val="1"/>
        </w:numPr>
        <w:spacing w:after="120" w:line="276" w:lineRule="auto"/>
        <w:jc w:val="both"/>
      </w:pPr>
      <w:r w:rsidRPr="00AE0F1B">
        <w:t>A Governance Lead (Dr Abul Hossain) and Governance Officer (Agrima Shankar) providing governance support and institutional memory.</w:t>
      </w:r>
    </w:p>
    <w:p w14:paraId="6E3106CA" w14:textId="77777777" w:rsidR="00925EB7" w:rsidRPr="00AE0F1B" w:rsidRDefault="00F32753" w:rsidP="007E184B">
      <w:pPr>
        <w:pStyle w:val="ListParagraph"/>
        <w:numPr>
          <w:ilvl w:val="0"/>
          <w:numId w:val="1"/>
        </w:numPr>
        <w:spacing w:after="120" w:line="276" w:lineRule="auto"/>
        <w:jc w:val="both"/>
      </w:pPr>
      <w:r w:rsidRPr="00AE0F1B">
        <w:t>A Staff Governor (Phillip Oyetunji) and Student Experience Lead (Dr Ruchi Singla) ensuring staff and student perspectives are represented.</w:t>
      </w:r>
    </w:p>
    <w:p w14:paraId="69DE52C4" w14:textId="77777777" w:rsidR="00925EB7" w:rsidRPr="00AE0F1B" w:rsidRDefault="00925EB7" w:rsidP="007E184B">
      <w:pPr>
        <w:spacing w:after="20" w:line="276" w:lineRule="auto"/>
        <w:jc w:val="both"/>
      </w:pPr>
    </w:p>
    <w:p w14:paraId="111A0BE3" w14:textId="56D9E696" w:rsidR="00925EB7" w:rsidRPr="00AE0F1B" w:rsidRDefault="00F32753" w:rsidP="007E184B">
      <w:pPr>
        <w:spacing w:after="120" w:line="276" w:lineRule="auto"/>
        <w:jc w:val="both"/>
      </w:pPr>
      <w:r w:rsidRPr="00AE0F1B">
        <w:t>The Board appointed Dr Sarah McAdam as Chair during the 2025–26 period. The appointment of the Board Chair followed a nomination process overseen by the Board, with the recommendation considered and actioned</w:t>
      </w:r>
      <w:r w:rsidR="00AE0F1B" w:rsidRPr="00AE0F1B">
        <w:t xml:space="preserve"> accordingly</w:t>
      </w:r>
      <w:r w:rsidRPr="00AE0F1B">
        <w:t>.</w:t>
      </w:r>
    </w:p>
    <w:p w14:paraId="2F46BF69" w14:textId="77777777" w:rsidR="00925EB7" w:rsidRPr="00AE0F1B" w:rsidRDefault="00925EB7" w:rsidP="007E184B">
      <w:pPr>
        <w:spacing w:after="20" w:line="276" w:lineRule="auto"/>
        <w:jc w:val="both"/>
      </w:pPr>
    </w:p>
    <w:p w14:paraId="4829DE9C" w14:textId="77777777" w:rsidR="00925EB7" w:rsidRPr="00AE0F1B" w:rsidRDefault="00F32753" w:rsidP="007E184B">
      <w:pPr>
        <w:spacing w:after="120" w:line="276" w:lineRule="auto"/>
        <w:jc w:val="both"/>
      </w:pPr>
      <w:r w:rsidRPr="00AE0F1B">
        <w:rPr>
          <w:b/>
          <w:bCs/>
        </w:rPr>
        <w:t xml:space="preserve">Assessment: </w:t>
      </w:r>
      <w:r w:rsidRPr="00AE0F1B">
        <w:t>The Board’s current composition provides a reasonable mix of skills and experience. However, the Board recognises the need to strengthen its skills base further, particularly in areas such as digital technology, legal expertise, and student-facing experience. A formal Board Skills &amp; Composition Mapping exercise is scheduled for the April 2026 meeting, with recruitment priorities to be identified. The Board also notes that one further independent governor is being inducted, and that the induction process should be formalised and documented to demonstrate compliance with CUC expectations.</w:t>
      </w:r>
    </w:p>
    <w:p w14:paraId="104D51CA" w14:textId="77777777" w:rsidR="008C260B" w:rsidRPr="00AE0F1B" w:rsidRDefault="008C260B" w:rsidP="007E184B">
      <w:pPr>
        <w:spacing w:line="276" w:lineRule="auto"/>
        <w:rPr>
          <w:b/>
          <w:bCs/>
          <w:color w:val="1F3864"/>
        </w:rPr>
      </w:pPr>
      <w:r w:rsidRPr="00AE0F1B">
        <w:rPr>
          <w:b/>
          <w:bCs/>
          <w:color w:val="1F3864"/>
        </w:rPr>
        <w:br w:type="page"/>
      </w:r>
    </w:p>
    <w:p w14:paraId="094DDABF" w14:textId="35D039FC" w:rsidR="00925EB7" w:rsidRPr="00AE0F1B" w:rsidRDefault="00F32753" w:rsidP="007E184B">
      <w:pPr>
        <w:pBdr>
          <w:bottom w:val="single" w:sz="3" w:space="4" w:color="1F3864"/>
        </w:pBdr>
        <w:spacing w:before="300" w:after="140" w:line="276" w:lineRule="auto"/>
      </w:pPr>
      <w:r w:rsidRPr="00AE0F1B">
        <w:rPr>
          <w:b/>
          <w:bCs/>
          <w:color w:val="1F3864"/>
        </w:rPr>
        <w:t>3. Governance Framework and Committee Structure</w:t>
      </w:r>
    </w:p>
    <w:p w14:paraId="0ACD7D39" w14:textId="77777777" w:rsidR="00925EB7" w:rsidRPr="00AE0F1B" w:rsidRDefault="00F32753" w:rsidP="007E184B">
      <w:pPr>
        <w:spacing w:after="120" w:line="276" w:lineRule="auto"/>
      </w:pPr>
      <w:r w:rsidRPr="00AE0F1B">
        <w:t>The Board has established four standing subcommittees, each with defined Terms of Reference, appointed chairs, and committee officers:</w:t>
      </w:r>
    </w:p>
    <w:p w14:paraId="0849B127" w14:textId="77777777" w:rsidR="00925EB7" w:rsidRPr="00AE0F1B" w:rsidRDefault="00925EB7" w:rsidP="007E184B">
      <w:pPr>
        <w:spacing w:after="20" w:line="276" w:lineRule="auto"/>
      </w:pP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32"/>
        <w:gridCol w:w="2732"/>
        <w:gridCol w:w="3758"/>
      </w:tblGrid>
      <w:tr w:rsidR="00C972C2" w:rsidRPr="00AE0F1B" w14:paraId="4E650213" w14:textId="77777777" w:rsidTr="00F008F4">
        <w:trPr>
          <w:trHeight w:val="265"/>
          <w:tblHeader/>
        </w:trPr>
        <w:tc>
          <w:tcPr>
            <w:tcW w:w="2732"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tcPr>
          <w:p w14:paraId="0E1DD68D" w14:textId="77777777" w:rsidR="00C972C2" w:rsidRPr="00AE0F1B" w:rsidRDefault="00C972C2" w:rsidP="007E184B">
            <w:pPr>
              <w:spacing w:after="40" w:line="276" w:lineRule="auto"/>
            </w:pPr>
            <w:r w:rsidRPr="00AE0F1B">
              <w:rPr>
                <w:b/>
                <w:bCs/>
                <w:color w:val="FFFFFF"/>
              </w:rPr>
              <w:t>Committee</w:t>
            </w:r>
          </w:p>
        </w:tc>
        <w:tc>
          <w:tcPr>
            <w:tcW w:w="2732"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tcPr>
          <w:p w14:paraId="29BC873C" w14:textId="77777777" w:rsidR="00C972C2" w:rsidRPr="00AE0F1B" w:rsidRDefault="00C972C2" w:rsidP="007E184B">
            <w:pPr>
              <w:spacing w:after="40" w:line="276" w:lineRule="auto"/>
            </w:pPr>
            <w:r w:rsidRPr="00AE0F1B">
              <w:rPr>
                <w:b/>
                <w:bCs/>
                <w:color w:val="FFFFFF"/>
              </w:rPr>
              <w:t>Chair</w:t>
            </w:r>
          </w:p>
        </w:tc>
        <w:tc>
          <w:tcPr>
            <w:tcW w:w="3758"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tcPr>
          <w:p w14:paraId="5DA99925" w14:textId="77777777" w:rsidR="00C972C2" w:rsidRPr="00AE0F1B" w:rsidRDefault="00C972C2" w:rsidP="007E184B">
            <w:pPr>
              <w:spacing w:after="40" w:line="276" w:lineRule="auto"/>
            </w:pPr>
            <w:r w:rsidRPr="00AE0F1B">
              <w:rPr>
                <w:b/>
                <w:bCs/>
                <w:color w:val="FFFFFF"/>
              </w:rPr>
              <w:t>Key Focus</w:t>
            </w:r>
          </w:p>
        </w:tc>
      </w:tr>
      <w:tr w:rsidR="00C972C2" w:rsidRPr="00AE0F1B" w14:paraId="671FB7EE" w14:textId="77777777" w:rsidTr="00F008F4">
        <w:trPr>
          <w:trHeight w:val="702"/>
        </w:trPr>
        <w:tc>
          <w:tcPr>
            <w:tcW w:w="2732"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40D6062" w14:textId="77777777" w:rsidR="00C972C2" w:rsidRPr="00AE0F1B" w:rsidRDefault="00C972C2" w:rsidP="007E184B">
            <w:pPr>
              <w:spacing w:after="40" w:line="276" w:lineRule="auto"/>
            </w:pPr>
            <w:r w:rsidRPr="00AE0F1B">
              <w:t>Audit, Risk &amp; Finance</w:t>
            </w:r>
          </w:p>
        </w:tc>
        <w:tc>
          <w:tcPr>
            <w:tcW w:w="2732"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0373C08" w14:textId="3F9D77BA" w:rsidR="00C972C2" w:rsidRPr="00AE0F1B" w:rsidRDefault="00C972C2" w:rsidP="007E184B">
            <w:pPr>
              <w:spacing w:after="40" w:line="276" w:lineRule="auto"/>
            </w:pPr>
            <w:r w:rsidRPr="00AE0F1B">
              <w:t>Alan Fenton (appointment in progress — paperwork being confirmed)</w:t>
            </w:r>
          </w:p>
        </w:tc>
        <w:tc>
          <w:tcPr>
            <w:tcW w:w="375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FCF19DB" w14:textId="77777777" w:rsidR="00C972C2" w:rsidRPr="00AE0F1B" w:rsidRDefault="00C972C2" w:rsidP="007E184B">
            <w:pPr>
              <w:spacing w:after="40" w:line="276" w:lineRule="auto"/>
            </w:pPr>
            <w:r w:rsidRPr="00AE0F1B">
              <w:t>Financial sustainability, risk register, internal/external audit, OfS Condition E3</w:t>
            </w:r>
          </w:p>
        </w:tc>
      </w:tr>
      <w:tr w:rsidR="00C972C2" w:rsidRPr="00AE0F1B" w14:paraId="5D3C7301" w14:textId="77777777" w:rsidTr="00F008F4">
        <w:trPr>
          <w:trHeight w:val="702"/>
        </w:trPr>
        <w:tc>
          <w:tcPr>
            <w:tcW w:w="2732"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46E00957" w14:textId="77777777" w:rsidR="00C972C2" w:rsidRPr="00AE0F1B" w:rsidRDefault="00C972C2" w:rsidP="007E184B">
            <w:pPr>
              <w:spacing w:after="40" w:line="276" w:lineRule="auto"/>
            </w:pPr>
            <w:r w:rsidRPr="00AE0F1B">
              <w:t>People &amp; Culture</w:t>
            </w:r>
          </w:p>
        </w:tc>
        <w:tc>
          <w:tcPr>
            <w:tcW w:w="2732"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1BD32D51" w14:textId="77777777" w:rsidR="00C972C2" w:rsidRPr="00AE0F1B" w:rsidRDefault="00C972C2" w:rsidP="007E184B">
            <w:pPr>
              <w:spacing w:after="40" w:line="276" w:lineRule="auto"/>
            </w:pPr>
            <w:r w:rsidRPr="00AE0F1B">
              <w:t>Mr Bola Makinde (Independent Governor)</w:t>
            </w:r>
          </w:p>
        </w:tc>
        <w:tc>
          <w:tcPr>
            <w:tcW w:w="3758"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7A6A5B46" w14:textId="77777777" w:rsidR="00C972C2" w:rsidRPr="00AE0F1B" w:rsidRDefault="00C972C2" w:rsidP="007E184B">
            <w:pPr>
              <w:spacing w:after="40" w:line="276" w:lineRule="auto"/>
            </w:pPr>
            <w:r w:rsidRPr="00AE0F1B">
              <w:t>Workforce planning, staff development, EDI, reward and recognition, HR risk</w:t>
            </w:r>
          </w:p>
        </w:tc>
      </w:tr>
      <w:tr w:rsidR="00C972C2" w:rsidRPr="00AE0F1B" w14:paraId="2BD0AB6D" w14:textId="77777777" w:rsidTr="00F008F4">
        <w:trPr>
          <w:trHeight w:val="714"/>
        </w:trPr>
        <w:tc>
          <w:tcPr>
            <w:tcW w:w="2732"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314E0D3" w14:textId="77777777" w:rsidR="00C972C2" w:rsidRPr="00AE0F1B" w:rsidRDefault="00C972C2" w:rsidP="007E184B">
            <w:pPr>
              <w:spacing w:after="40" w:line="276" w:lineRule="auto"/>
            </w:pPr>
            <w:r w:rsidRPr="00AE0F1B">
              <w:t>Operations &amp; Infrastructure</w:t>
            </w:r>
          </w:p>
        </w:tc>
        <w:tc>
          <w:tcPr>
            <w:tcW w:w="2732"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301FB56" w14:textId="77777777" w:rsidR="00C972C2" w:rsidRPr="00AE0F1B" w:rsidRDefault="00C972C2" w:rsidP="007E184B">
            <w:pPr>
              <w:spacing w:after="40" w:line="276" w:lineRule="auto"/>
            </w:pPr>
            <w:r w:rsidRPr="00AE0F1B">
              <w:t>Dr Simon Evans (Independent Governor)</w:t>
            </w:r>
          </w:p>
        </w:tc>
        <w:tc>
          <w:tcPr>
            <w:tcW w:w="375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904E4F7" w14:textId="77777777" w:rsidR="00C972C2" w:rsidRPr="00AE0F1B" w:rsidRDefault="00C972C2" w:rsidP="007E184B">
            <w:pPr>
              <w:spacing w:after="40" w:line="276" w:lineRule="auto"/>
            </w:pPr>
            <w:r w:rsidRPr="00AE0F1B">
              <w:t>Estates, IT infrastructure, timetabling, business continuity, student operations</w:t>
            </w:r>
          </w:p>
        </w:tc>
      </w:tr>
      <w:tr w:rsidR="00C972C2" w:rsidRPr="00AE0F1B" w14:paraId="30B88CBC" w14:textId="77777777" w:rsidTr="00F008F4">
        <w:trPr>
          <w:trHeight w:val="702"/>
        </w:trPr>
        <w:tc>
          <w:tcPr>
            <w:tcW w:w="2732"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7F4D4A50" w14:textId="77777777" w:rsidR="00C972C2" w:rsidRPr="00AE0F1B" w:rsidRDefault="00C972C2" w:rsidP="007E184B">
            <w:pPr>
              <w:spacing w:after="40" w:line="276" w:lineRule="auto"/>
            </w:pPr>
            <w:r w:rsidRPr="00AE0F1B">
              <w:t>Student Interest</w:t>
            </w:r>
          </w:p>
        </w:tc>
        <w:tc>
          <w:tcPr>
            <w:tcW w:w="2732"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5328D779" w14:textId="2ACDC94D" w:rsidR="00C972C2" w:rsidRPr="00AE0F1B" w:rsidRDefault="00C972C2" w:rsidP="007E184B">
            <w:pPr>
              <w:spacing w:after="40" w:line="276" w:lineRule="auto"/>
            </w:pPr>
            <w:r w:rsidRPr="00AE0F1B">
              <w:t>Dr Sarah McAdam</w:t>
            </w:r>
            <w:r w:rsidR="00F008F4" w:rsidRPr="00AE0F1B">
              <w:t xml:space="preserve"> (Independent Governor and Chair)</w:t>
            </w:r>
          </w:p>
        </w:tc>
        <w:tc>
          <w:tcPr>
            <w:tcW w:w="3758"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68E4E881" w14:textId="77777777" w:rsidR="00C972C2" w:rsidRPr="00AE0F1B" w:rsidRDefault="00C972C2" w:rsidP="007E184B">
            <w:pPr>
              <w:spacing w:after="40" w:line="276" w:lineRule="auto"/>
            </w:pPr>
            <w:r w:rsidRPr="00AE0F1B">
              <w:t>Student representation, student voice, student experience, complaints and appeals</w:t>
            </w:r>
          </w:p>
        </w:tc>
      </w:tr>
    </w:tbl>
    <w:p w14:paraId="32FBC30B" w14:textId="77777777" w:rsidR="00925EB7" w:rsidRPr="00AE0F1B" w:rsidRDefault="00925EB7" w:rsidP="007E184B">
      <w:pPr>
        <w:spacing w:after="20" w:line="276" w:lineRule="auto"/>
      </w:pPr>
    </w:p>
    <w:p w14:paraId="7F76400E" w14:textId="77777777" w:rsidR="00925EB7" w:rsidRPr="00AE0F1B" w:rsidRDefault="00F32753" w:rsidP="007E184B">
      <w:pPr>
        <w:spacing w:after="120" w:line="276" w:lineRule="auto"/>
        <w:jc w:val="both"/>
      </w:pPr>
      <w:r w:rsidRPr="00AE0F1B">
        <w:t>In addition to the formal committee structure, the institution operates weekly and monthly governance panels covering academic quality, operations, risk, IT, and finance. These panels feed into the Senior Management Team (SMT), which in turn reports to the Board through the committee structure.</w:t>
      </w:r>
    </w:p>
    <w:p w14:paraId="768448BA" w14:textId="77777777" w:rsidR="00925EB7" w:rsidRPr="00AE0F1B" w:rsidRDefault="00925EB7" w:rsidP="007E184B">
      <w:pPr>
        <w:spacing w:after="20" w:line="276" w:lineRule="auto"/>
        <w:jc w:val="both"/>
      </w:pPr>
    </w:p>
    <w:p w14:paraId="4BE6FA49" w14:textId="7E3FF894" w:rsidR="00925EB7" w:rsidRPr="00AE0F1B" w:rsidRDefault="00F32753" w:rsidP="007E184B">
      <w:pPr>
        <w:spacing w:after="120" w:line="276" w:lineRule="auto"/>
        <w:jc w:val="both"/>
      </w:pPr>
      <w:r w:rsidRPr="00AE0F1B">
        <w:rPr>
          <w:b/>
          <w:bCs/>
        </w:rPr>
        <w:t xml:space="preserve">Assessment: </w:t>
      </w:r>
      <w:r w:rsidRPr="00AE0F1B">
        <w:t>The committee structure was established during 2025–26 and all four committees have now held or scheduled their inaugural meetings. The Board is satisfied that the structure is appropriate for an institution of LAAT’s size and stage of development. However, the Board acknowledges that the governance framework is still maturing. Key areas for improvement include ensuring advance circulation of papers with sufficient lead time (raised by the Operations &amp; Infrastructure Committee); standardising reporting formats across committees; and strengthening the documentation trail (handbooks, audit folders, and terms of reference). The ARFC also identified a conflict-of-interest concern regarding its own chair arrangements, which the Board will address at its April 2026 meeting.</w:t>
      </w:r>
    </w:p>
    <w:p w14:paraId="771C9FF4" w14:textId="77777777" w:rsidR="00925EB7" w:rsidRPr="00AE0F1B" w:rsidRDefault="00F32753" w:rsidP="007E184B">
      <w:pPr>
        <w:pBdr>
          <w:bottom w:val="single" w:sz="3" w:space="4" w:color="1F3864"/>
        </w:pBdr>
        <w:spacing w:before="300" w:after="140" w:line="276" w:lineRule="auto"/>
      </w:pPr>
      <w:r w:rsidRPr="00AE0F1B">
        <w:rPr>
          <w:b/>
          <w:bCs/>
          <w:color w:val="1F3864"/>
        </w:rPr>
        <w:t>4. Board and Committee Activity in 2025–26</w:t>
      </w:r>
    </w:p>
    <w:p w14:paraId="203140E3" w14:textId="64F6CCB3" w:rsidR="00925EB7" w:rsidRPr="00AE0F1B" w:rsidRDefault="00F32753" w:rsidP="007E184B">
      <w:pPr>
        <w:spacing w:after="120" w:line="276" w:lineRule="auto"/>
        <w:jc w:val="both"/>
      </w:pPr>
      <w:r w:rsidRPr="00AE0F1B">
        <w:t>The Board held its inaugural meeting in July 2025. This meeting established the governance framework, adopted the Governors’ Code of Conduct, appointed subcommittee chairs, and agreed the institutional risk register framework. A second Board meeting is scheduled for 29 April 2026.</w:t>
      </w:r>
    </w:p>
    <w:p w14:paraId="1C931803" w14:textId="77777777" w:rsidR="00925EB7" w:rsidRPr="00AE0F1B" w:rsidRDefault="00925EB7" w:rsidP="007E184B">
      <w:pPr>
        <w:spacing w:after="20" w:line="276" w:lineRule="auto"/>
        <w:jc w:val="both"/>
      </w:pPr>
    </w:p>
    <w:p w14:paraId="520CF2DF" w14:textId="77777777" w:rsidR="00925EB7" w:rsidRPr="00AE0F1B" w:rsidRDefault="00F32753" w:rsidP="007E184B">
      <w:pPr>
        <w:spacing w:after="120" w:line="276" w:lineRule="auto"/>
        <w:jc w:val="both"/>
      </w:pPr>
      <w:r w:rsidRPr="00AE0F1B">
        <w:t>Between July 2025 and April 2026, governance activity was carried through the subcommittee and panel structure. Key decisions, assurances, and escalations from committee activity during this period include:</w:t>
      </w:r>
    </w:p>
    <w:p w14:paraId="55CE2F4D" w14:textId="77777777" w:rsidR="00925EB7" w:rsidRPr="00AE0F1B" w:rsidRDefault="00925EB7" w:rsidP="007E184B">
      <w:pPr>
        <w:spacing w:after="20" w:line="276" w:lineRule="auto"/>
      </w:pPr>
    </w:p>
    <w:p w14:paraId="61C30C19" w14:textId="77777777" w:rsidR="00AE0F1B" w:rsidRPr="00AE0F1B" w:rsidRDefault="00AE0F1B" w:rsidP="007E184B">
      <w:pPr>
        <w:spacing w:line="276" w:lineRule="auto"/>
        <w:rPr>
          <w:b/>
          <w:bCs/>
        </w:rPr>
      </w:pPr>
      <w:r w:rsidRPr="00AE0F1B">
        <w:rPr>
          <w:b/>
          <w:bCs/>
        </w:rPr>
        <w:br w:type="page"/>
      </w:r>
    </w:p>
    <w:p w14:paraId="61F97217" w14:textId="006FF2D2" w:rsidR="00925EB7" w:rsidRPr="00AE0F1B" w:rsidRDefault="00F32753" w:rsidP="007E184B">
      <w:pPr>
        <w:spacing w:after="120" w:line="276" w:lineRule="auto"/>
      </w:pPr>
      <w:r w:rsidRPr="00AE0F1B">
        <w:rPr>
          <w:b/>
          <w:bCs/>
        </w:rPr>
        <w:t>Audit, Risk &amp; Finance Committee (23 February 2026)</w:t>
      </w:r>
    </w:p>
    <w:p w14:paraId="399AC362" w14:textId="77777777" w:rsidR="00925EB7" w:rsidRPr="00AE0F1B" w:rsidRDefault="00F32753" w:rsidP="007E184B">
      <w:pPr>
        <w:pStyle w:val="ListParagraph"/>
        <w:numPr>
          <w:ilvl w:val="0"/>
          <w:numId w:val="1"/>
        </w:numPr>
        <w:spacing w:after="120" w:line="276" w:lineRule="auto"/>
        <w:jc w:val="both"/>
      </w:pPr>
      <w:r w:rsidRPr="00AE0F1B">
        <w:t>Confirmed financial sustainability in line with OfS Condition E3, noting net turnover of approximately £3.3 million and a profit of £66,467 for FY2025.</w:t>
      </w:r>
    </w:p>
    <w:p w14:paraId="01465714" w14:textId="77777777" w:rsidR="00925EB7" w:rsidRPr="00AE0F1B" w:rsidRDefault="00F32753" w:rsidP="007E184B">
      <w:pPr>
        <w:pStyle w:val="ListParagraph"/>
        <w:numPr>
          <w:ilvl w:val="0"/>
          <w:numId w:val="1"/>
        </w:numPr>
        <w:spacing w:after="120" w:line="276" w:lineRule="auto"/>
        <w:jc w:val="both"/>
      </w:pPr>
      <w:r w:rsidRPr="00AE0F1B">
        <w:t>Reviewed and supported the strategic decision to lease the Brentford campus over a 20-year horizon.</w:t>
      </w:r>
    </w:p>
    <w:p w14:paraId="028750E4" w14:textId="77777777" w:rsidR="00925EB7" w:rsidRPr="00AE0F1B" w:rsidRDefault="00F32753" w:rsidP="007E184B">
      <w:pPr>
        <w:pStyle w:val="ListParagraph"/>
        <w:numPr>
          <w:ilvl w:val="0"/>
          <w:numId w:val="1"/>
        </w:numPr>
        <w:spacing w:after="120" w:line="276" w:lineRule="auto"/>
        <w:jc w:val="both"/>
      </w:pPr>
      <w:r w:rsidRPr="00AE0F1B">
        <w:t>Noted the absence of a formally appointed independent internal auditor and agreed that management should explore cost-effective options appropriate to the institution’s size.</w:t>
      </w:r>
    </w:p>
    <w:p w14:paraId="1C36FE44" w14:textId="77777777" w:rsidR="00925EB7" w:rsidRPr="00AE0F1B" w:rsidRDefault="00F32753" w:rsidP="007E184B">
      <w:pPr>
        <w:pStyle w:val="ListParagraph"/>
        <w:numPr>
          <w:ilvl w:val="0"/>
          <w:numId w:val="1"/>
        </w:numPr>
        <w:spacing w:after="120" w:line="276" w:lineRule="auto"/>
        <w:jc w:val="both"/>
      </w:pPr>
      <w:r w:rsidRPr="00AE0F1B">
        <w:t>Reviewed and approved the Fraud and Anti-Bribery Policy.</w:t>
      </w:r>
    </w:p>
    <w:p w14:paraId="04C547F7" w14:textId="77777777" w:rsidR="00925EB7" w:rsidRPr="00AE0F1B" w:rsidRDefault="00F32753" w:rsidP="007E184B">
      <w:pPr>
        <w:pStyle w:val="ListParagraph"/>
        <w:numPr>
          <w:ilvl w:val="0"/>
          <w:numId w:val="1"/>
        </w:numPr>
        <w:spacing w:after="120" w:line="276" w:lineRule="auto"/>
        <w:jc w:val="both"/>
      </w:pPr>
      <w:r w:rsidRPr="00AE0F1B">
        <w:t>Confirmed that the financial control framework (segregation of duties, authorisation controls, fraud and whistleblowing monitoring) is adequate and effective.</w:t>
      </w:r>
    </w:p>
    <w:p w14:paraId="1F667DFA" w14:textId="77777777" w:rsidR="00925EB7" w:rsidRPr="00AE0F1B" w:rsidRDefault="00F32753" w:rsidP="007E184B">
      <w:pPr>
        <w:pStyle w:val="ListParagraph"/>
        <w:numPr>
          <w:ilvl w:val="0"/>
          <w:numId w:val="1"/>
        </w:numPr>
        <w:spacing w:after="120" w:line="276" w:lineRule="auto"/>
        <w:jc w:val="both"/>
      </w:pPr>
      <w:r w:rsidRPr="00AE0F1B">
        <w:t>Identified the need for campus-level performance and breakeven reporting at future Board meetings.</w:t>
      </w:r>
    </w:p>
    <w:p w14:paraId="39FB943C" w14:textId="77777777" w:rsidR="00925EB7" w:rsidRPr="00AE0F1B" w:rsidRDefault="00925EB7" w:rsidP="007E184B">
      <w:pPr>
        <w:spacing w:after="20" w:line="276" w:lineRule="auto"/>
      </w:pPr>
    </w:p>
    <w:p w14:paraId="03728AAB" w14:textId="77777777" w:rsidR="00925EB7" w:rsidRPr="00AE0F1B" w:rsidRDefault="00F32753" w:rsidP="007E184B">
      <w:pPr>
        <w:spacing w:after="120" w:line="276" w:lineRule="auto"/>
      </w:pPr>
      <w:r w:rsidRPr="00AE0F1B">
        <w:rPr>
          <w:b/>
          <w:bCs/>
        </w:rPr>
        <w:t>People &amp; Culture Committee (16 March 2026)</w:t>
      </w:r>
    </w:p>
    <w:p w14:paraId="5C3E7B37" w14:textId="77777777" w:rsidR="00925EB7" w:rsidRPr="00AE0F1B" w:rsidRDefault="00F32753" w:rsidP="007E184B">
      <w:pPr>
        <w:pStyle w:val="ListParagraph"/>
        <w:numPr>
          <w:ilvl w:val="0"/>
          <w:numId w:val="1"/>
        </w:numPr>
        <w:spacing w:after="120" w:line="276" w:lineRule="auto"/>
        <w:jc w:val="both"/>
      </w:pPr>
      <w:r w:rsidRPr="00AE0F1B">
        <w:t>Reviewed workforce planning: 54 staff across three campuses serving approximately 1,157 students. 18 roles in active recruitment, with 12 full-time lecturer positions identified as the highest priority.</w:t>
      </w:r>
    </w:p>
    <w:p w14:paraId="6409D68D" w14:textId="77777777" w:rsidR="00925EB7" w:rsidRPr="00AE0F1B" w:rsidRDefault="00F32753" w:rsidP="007E184B">
      <w:pPr>
        <w:pStyle w:val="ListParagraph"/>
        <w:numPr>
          <w:ilvl w:val="0"/>
          <w:numId w:val="1"/>
        </w:numPr>
        <w:spacing w:after="120" w:line="276" w:lineRule="auto"/>
        <w:jc w:val="both"/>
      </w:pPr>
      <w:r w:rsidRPr="00AE0F1B">
        <w:t>Flagged mandatory training compliance as a risk: only 25 of 54 staff had completed training at the time of the meeting. The committee set a target of 100% completion.</w:t>
      </w:r>
    </w:p>
    <w:p w14:paraId="6878DCCD" w14:textId="77777777" w:rsidR="00925EB7" w:rsidRPr="00AE0F1B" w:rsidRDefault="00F32753" w:rsidP="007E184B">
      <w:pPr>
        <w:pStyle w:val="ListParagraph"/>
        <w:numPr>
          <w:ilvl w:val="0"/>
          <w:numId w:val="1"/>
        </w:numPr>
        <w:spacing w:after="120" w:line="276" w:lineRule="auto"/>
        <w:jc w:val="both"/>
      </w:pPr>
      <w:r w:rsidRPr="00AE0F1B">
        <w:t>Noted the establishment of the institution’s first formal EDI baseline (February 2026) and discussed strategies to broaden workforce diversity.</w:t>
      </w:r>
    </w:p>
    <w:p w14:paraId="7FBB8ECB" w14:textId="77777777" w:rsidR="00925EB7" w:rsidRPr="00AE0F1B" w:rsidRDefault="00F32753" w:rsidP="007E184B">
      <w:pPr>
        <w:pStyle w:val="ListParagraph"/>
        <w:numPr>
          <w:ilvl w:val="0"/>
          <w:numId w:val="1"/>
        </w:numPr>
        <w:spacing w:after="120" w:line="276" w:lineRule="auto"/>
        <w:jc w:val="both"/>
      </w:pPr>
      <w:r w:rsidRPr="00AE0F1B">
        <w:t>Identified pay inconsistency across equivalent roles as both a retention and equality risk, with a formal pay banding framework due by September 2026.</w:t>
      </w:r>
    </w:p>
    <w:p w14:paraId="5961F848" w14:textId="77777777" w:rsidR="00925EB7" w:rsidRPr="00AE0F1B" w:rsidRDefault="00F32753" w:rsidP="007E184B">
      <w:pPr>
        <w:pStyle w:val="ListParagraph"/>
        <w:numPr>
          <w:ilvl w:val="0"/>
          <w:numId w:val="1"/>
        </w:numPr>
        <w:spacing w:after="120" w:line="276" w:lineRule="auto"/>
        <w:jc w:val="both"/>
      </w:pPr>
      <w:r w:rsidRPr="00AE0F1B">
        <w:t>Reviewed the People &amp; Culture Strategy 2026–2028, which was circulated for member feedback ahead of formal adoption.</w:t>
      </w:r>
    </w:p>
    <w:p w14:paraId="1E7EC9C9" w14:textId="77777777" w:rsidR="00925EB7" w:rsidRPr="00AE0F1B" w:rsidRDefault="00925EB7" w:rsidP="007E184B">
      <w:pPr>
        <w:spacing w:after="20" w:line="276" w:lineRule="auto"/>
      </w:pPr>
    </w:p>
    <w:p w14:paraId="010FDF84" w14:textId="77777777" w:rsidR="00925EB7" w:rsidRPr="00AE0F1B" w:rsidRDefault="00F32753" w:rsidP="007E184B">
      <w:pPr>
        <w:spacing w:after="120" w:line="276" w:lineRule="auto"/>
      </w:pPr>
      <w:r w:rsidRPr="00AE0F1B">
        <w:rPr>
          <w:b/>
          <w:bCs/>
        </w:rPr>
        <w:t>Operations &amp; Infrastructure Committee (12 March 2026)</w:t>
      </w:r>
    </w:p>
    <w:p w14:paraId="58FE86F8" w14:textId="4EF8AD62" w:rsidR="00925EB7" w:rsidRPr="00AE0F1B" w:rsidRDefault="00F32753" w:rsidP="007E184B">
      <w:pPr>
        <w:pStyle w:val="ListParagraph"/>
        <w:numPr>
          <w:ilvl w:val="0"/>
          <w:numId w:val="1"/>
        </w:numPr>
        <w:spacing w:after="120" w:line="276" w:lineRule="auto"/>
        <w:jc w:val="both"/>
      </w:pPr>
      <w:r w:rsidRPr="00AE0F1B">
        <w:t xml:space="preserve">Reviewed estates and facilities across three campuses, noting that current capacity is manageable through scheduling </w:t>
      </w:r>
      <w:r w:rsidR="00AE0F1B" w:rsidRPr="00AE0F1B">
        <w:t>optimisation,</w:t>
      </w:r>
      <w:r w:rsidRPr="00AE0F1B">
        <w:t xml:space="preserve"> but that future expansion requires planning.</w:t>
      </w:r>
    </w:p>
    <w:p w14:paraId="378CC4E4" w14:textId="77777777" w:rsidR="00925EB7" w:rsidRPr="00AE0F1B" w:rsidRDefault="00F32753" w:rsidP="007E184B">
      <w:pPr>
        <w:pStyle w:val="ListParagraph"/>
        <w:numPr>
          <w:ilvl w:val="0"/>
          <w:numId w:val="1"/>
        </w:numPr>
        <w:spacing w:after="120" w:line="276" w:lineRule="auto"/>
        <w:jc w:val="both"/>
      </w:pPr>
      <w:r w:rsidRPr="00AE0F1B">
        <w:t>Identified the CRM system gap as an operational risk and noted that procurement is needed.</w:t>
      </w:r>
    </w:p>
    <w:p w14:paraId="2E6A3A3E" w14:textId="77777777" w:rsidR="00925EB7" w:rsidRPr="00AE0F1B" w:rsidRDefault="00F32753" w:rsidP="007E184B">
      <w:pPr>
        <w:pStyle w:val="ListParagraph"/>
        <w:numPr>
          <w:ilvl w:val="0"/>
          <w:numId w:val="1"/>
        </w:numPr>
        <w:spacing w:after="120" w:line="276" w:lineRule="auto"/>
        <w:jc w:val="both"/>
      </w:pPr>
      <w:r w:rsidRPr="00AE0F1B">
        <w:t>Discussed timetabling challenges caused by manual processes and rapid growth; timetabling software procurement is in progress.</w:t>
      </w:r>
    </w:p>
    <w:p w14:paraId="3C492714" w14:textId="77777777" w:rsidR="00925EB7" w:rsidRPr="00AE0F1B" w:rsidRDefault="00F32753" w:rsidP="007E184B">
      <w:pPr>
        <w:pStyle w:val="ListParagraph"/>
        <w:numPr>
          <w:ilvl w:val="0"/>
          <w:numId w:val="1"/>
        </w:numPr>
        <w:spacing w:after="120" w:line="276" w:lineRule="auto"/>
        <w:jc w:val="both"/>
      </w:pPr>
      <w:r w:rsidRPr="00AE0F1B">
        <w:t>Noted 41 student withdrawals and 7 deferrals, with low attendance trends in later semesters flagged for attention.</w:t>
      </w:r>
    </w:p>
    <w:p w14:paraId="5D6CF9D7" w14:textId="77777777" w:rsidR="00925EB7" w:rsidRPr="00AE0F1B" w:rsidRDefault="00F32753" w:rsidP="007E184B">
      <w:pPr>
        <w:pStyle w:val="ListParagraph"/>
        <w:numPr>
          <w:ilvl w:val="0"/>
          <w:numId w:val="1"/>
        </w:numPr>
        <w:spacing w:after="120" w:line="276" w:lineRule="auto"/>
        <w:jc w:val="both"/>
      </w:pPr>
      <w:r w:rsidRPr="00AE0F1B">
        <w:t>Agreed that business continuity planning and contingency reporting need strengthening.</w:t>
      </w:r>
    </w:p>
    <w:p w14:paraId="38B98333" w14:textId="77777777" w:rsidR="00925EB7" w:rsidRPr="00AE0F1B" w:rsidRDefault="00925EB7" w:rsidP="007E184B">
      <w:pPr>
        <w:spacing w:after="20" w:line="276" w:lineRule="auto"/>
      </w:pPr>
    </w:p>
    <w:p w14:paraId="3FEB0A0D" w14:textId="77777777" w:rsidR="00925EB7" w:rsidRPr="00AE0F1B" w:rsidRDefault="00F32753" w:rsidP="007E184B">
      <w:pPr>
        <w:spacing w:after="120" w:line="276" w:lineRule="auto"/>
      </w:pPr>
      <w:r w:rsidRPr="00AE0F1B">
        <w:rPr>
          <w:b/>
          <w:bCs/>
        </w:rPr>
        <w:t>Student Interest Panel</w:t>
      </w:r>
    </w:p>
    <w:p w14:paraId="20BA6E4E" w14:textId="77777777" w:rsidR="00F330B4" w:rsidRDefault="00F32753" w:rsidP="007E184B">
      <w:pPr>
        <w:spacing w:after="120" w:line="276" w:lineRule="auto"/>
        <w:jc w:val="both"/>
      </w:pPr>
      <w:r w:rsidRPr="00AE0F1B">
        <w:t>The BoG Student Interest Subcommittee held its inaugural meeting on 16 April 2026. The meeting was quorate and chaired by Dr Sarah McAdam. Key matters discussed included</w:t>
      </w:r>
      <w:r w:rsidR="00F330B4">
        <w:t>:</w:t>
      </w:r>
      <w:r w:rsidRPr="00AE0F1B">
        <w:t xml:space="preserve"> </w:t>
      </w:r>
    </w:p>
    <w:p w14:paraId="3B2D4B83" w14:textId="235F793A" w:rsidR="00F330B4" w:rsidRDefault="00F32753" w:rsidP="007E184B">
      <w:pPr>
        <w:pStyle w:val="ListParagraph"/>
        <w:numPr>
          <w:ilvl w:val="0"/>
          <w:numId w:val="2"/>
        </w:numPr>
        <w:spacing w:after="120" w:line="276" w:lineRule="auto"/>
        <w:jc w:val="both"/>
      </w:pPr>
      <w:r w:rsidRPr="00AE0F1B">
        <w:t xml:space="preserve">student withdrawals and attendance monitoring, </w:t>
      </w:r>
    </w:p>
    <w:p w14:paraId="239C6553" w14:textId="77777777" w:rsidR="00F330B4" w:rsidRDefault="00F32753" w:rsidP="007E184B">
      <w:pPr>
        <w:pStyle w:val="ListParagraph"/>
        <w:numPr>
          <w:ilvl w:val="0"/>
          <w:numId w:val="2"/>
        </w:numPr>
        <w:spacing w:after="120" w:line="276" w:lineRule="auto"/>
        <w:jc w:val="both"/>
      </w:pPr>
      <w:r w:rsidRPr="00AE0F1B">
        <w:t xml:space="preserve">the timetable reallocation completed 11 April 2026 for OfS compliance, </w:t>
      </w:r>
    </w:p>
    <w:p w14:paraId="79F106D3" w14:textId="780A1BB3" w:rsidR="00F330B4" w:rsidRDefault="00F32753" w:rsidP="007E184B">
      <w:pPr>
        <w:pStyle w:val="ListParagraph"/>
        <w:numPr>
          <w:ilvl w:val="0"/>
          <w:numId w:val="2"/>
        </w:numPr>
        <w:spacing w:after="120" w:line="276" w:lineRule="auto"/>
        <w:jc w:val="both"/>
      </w:pPr>
      <w:r w:rsidRPr="00AE0F1B">
        <w:t xml:space="preserve">the launch of the inaugural Careers Desk pilot, </w:t>
      </w:r>
    </w:p>
    <w:p w14:paraId="368ED572" w14:textId="4F3D8C04" w:rsidR="00F330B4" w:rsidRDefault="00F32753" w:rsidP="007E184B">
      <w:pPr>
        <w:pStyle w:val="ListParagraph"/>
        <w:numPr>
          <w:ilvl w:val="0"/>
          <w:numId w:val="2"/>
        </w:numPr>
        <w:spacing w:after="120" w:line="276" w:lineRule="auto"/>
        <w:jc w:val="both"/>
      </w:pPr>
      <w:r w:rsidRPr="00AE0F1B">
        <w:t xml:space="preserve">progress on wellbeing and EDI frameworks. </w:t>
      </w:r>
    </w:p>
    <w:p w14:paraId="36ED7C59" w14:textId="046F2298" w:rsidR="00925EB7" w:rsidRPr="00AE0F1B" w:rsidRDefault="00F32753" w:rsidP="007E184B">
      <w:pPr>
        <w:spacing w:after="120" w:line="276" w:lineRule="auto"/>
        <w:jc w:val="both"/>
      </w:pPr>
      <w:r w:rsidRPr="00AE0F1B">
        <w:t>The Board notes that all four standing subcommittees have now held their inaugural meetings, completing the planned governance structure for 2025–26.</w:t>
      </w:r>
    </w:p>
    <w:p w14:paraId="4FC84430" w14:textId="77777777" w:rsidR="00925EB7" w:rsidRPr="00AE0F1B" w:rsidRDefault="00925EB7" w:rsidP="007E184B">
      <w:pPr>
        <w:spacing w:after="20" w:line="276" w:lineRule="auto"/>
      </w:pPr>
    </w:p>
    <w:p w14:paraId="50ECC7D1" w14:textId="77777777" w:rsidR="00925EB7" w:rsidRPr="00AE0F1B" w:rsidRDefault="00F32753" w:rsidP="007E184B">
      <w:pPr>
        <w:spacing w:after="120" w:line="276" w:lineRule="auto"/>
        <w:jc w:val="both"/>
      </w:pPr>
      <w:r w:rsidRPr="00AE0F1B">
        <w:rPr>
          <w:b/>
          <w:bCs/>
        </w:rPr>
        <w:t xml:space="preserve">Assessment: </w:t>
      </w:r>
      <w:r w:rsidRPr="00AE0F1B">
        <w:t>The Board is satisfied that its committees have been active and are addressing material institutional risks. The level of scrutiny and challenge demonstrated in committee minutes – for example, governors pressing management on recruitment quality safeguards, mandatory training compliance timelines, and internal audit requirements – provides evidence of effective independent oversight. The Board recognises that meeting frequency needs to increase as the institution’s OfS application advances, and that the gap between the inaugural Board meeting (July 2025) and the second meeting (April 2026) is longer than ideal. The Board intends to meet at least termly going forward. The second Board meeting took place on 29 April 2026, at which this statement was considered and approved.</w:t>
      </w:r>
    </w:p>
    <w:p w14:paraId="26BA89B9" w14:textId="77777777" w:rsidR="00925EB7" w:rsidRPr="00AE0F1B" w:rsidRDefault="00F32753" w:rsidP="007E184B">
      <w:pPr>
        <w:spacing w:line="276" w:lineRule="auto"/>
      </w:pPr>
      <w:r w:rsidRPr="00AE0F1B">
        <w:br w:type="page"/>
      </w:r>
    </w:p>
    <w:p w14:paraId="5D424E27" w14:textId="77777777" w:rsidR="00925EB7" w:rsidRPr="00AE0F1B" w:rsidRDefault="00F32753" w:rsidP="007E184B">
      <w:pPr>
        <w:pBdr>
          <w:bottom w:val="single" w:sz="3" w:space="4" w:color="1F3864"/>
        </w:pBdr>
        <w:spacing w:before="300" w:after="140" w:line="276" w:lineRule="auto"/>
      </w:pPr>
      <w:r w:rsidRPr="00AE0F1B">
        <w:rPr>
          <w:b/>
          <w:bCs/>
          <w:color w:val="1F3864"/>
        </w:rPr>
        <w:t>5. Risk Oversight</w:t>
      </w:r>
    </w:p>
    <w:p w14:paraId="1A91F0BB" w14:textId="0E55690A" w:rsidR="00925EB7" w:rsidRPr="00AE0F1B" w:rsidRDefault="00F32753" w:rsidP="007E184B">
      <w:pPr>
        <w:spacing w:after="120" w:line="276" w:lineRule="auto"/>
        <w:jc w:val="both"/>
      </w:pPr>
      <w:r w:rsidRPr="00AE0F1B">
        <w:t>The Board established an institutional risk register framework at its July 2025 meeting. The risk register is now active and is reviewed within the committee and panel structure. The ARFC has requested that the register be consolidated into clearly defined strategic and operational tiers.</w:t>
      </w:r>
    </w:p>
    <w:p w14:paraId="6BCCF911" w14:textId="77777777" w:rsidR="00925EB7" w:rsidRPr="00AE0F1B" w:rsidRDefault="00F32753" w:rsidP="007E184B">
      <w:pPr>
        <w:spacing w:after="120" w:line="276" w:lineRule="auto"/>
        <w:jc w:val="both"/>
      </w:pPr>
      <w:r w:rsidRPr="00AE0F1B">
        <w:t>Key institutional risks identified through committee activity in 2025–26 include:</w:t>
      </w:r>
    </w:p>
    <w:p w14:paraId="317BF7CA" w14:textId="77777777" w:rsidR="00925EB7" w:rsidRPr="00AE0F1B" w:rsidRDefault="00925EB7" w:rsidP="007E184B">
      <w:pPr>
        <w:spacing w:after="20" w:line="276" w:lineRule="auto"/>
        <w:jc w:val="bo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88"/>
        <w:gridCol w:w="848"/>
        <w:gridCol w:w="2191"/>
        <w:gridCol w:w="3599"/>
      </w:tblGrid>
      <w:tr w:rsidR="00925EB7" w:rsidRPr="00AE0F1B" w14:paraId="7F26AEEE" w14:textId="77777777">
        <w:trPr>
          <w:tblHeader/>
        </w:trPr>
        <w:tc>
          <w:tcPr>
            <w:tcW w:w="24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tcPr>
          <w:p w14:paraId="7BDDC889" w14:textId="77777777" w:rsidR="00925EB7" w:rsidRPr="00AE0F1B" w:rsidRDefault="00F32753" w:rsidP="007E184B">
            <w:pPr>
              <w:spacing w:after="40" w:line="276" w:lineRule="auto"/>
              <w:jc w:val="both"/>
            </w:pPr>
            <w:r w:rsidRPr="00AE0F1B">
              <w:rPr>
                <w:b/>
                <w:bCs/>
                <w:color w:val="FFFFFF"/>
              </w:rPr>
              <w:t>Risk</w:t>
            </w:r>
          </w:p>
        </w:tc>
        <w:tc>
          <w:tcPr>
            <w:tcW w:w="8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tcPr>
          <w:p w14:paraId="06632CE7" w14:textId="77777777" w:rsidR="00925EB7" w:rsidRPr="00AE0F1B" w:rsidRDefault="00F32753" w:rsidP="007E184B">
            <w:pPr>
              <w:spacing w:after="40" w:line="276" w:lineRule="auto"/>
              <w:jc w:val="both"/>
            </w:pPr>
            <w:r w:rsidRPr="00AE0F1B">
              <w:rPr>
                <w:b/>
                <w:bCs/>
                <w:color w:val="FFFFFF"/>
              </w:rPr>
              <w:t>RAG</w:t>
            </w:r>
          </w:p>
        </w:tc>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tcPr>
          <w:p w14:paraId="25BE5A95" w14:textId="77777777" w:rsidR="00925EB7" w:rsidRPr="00AE0F1B" w:rsidRDefault="00F32753" w:rsidP="007E184B">
            <w:pPr>
              <w:spacing w:after="40" w:line="276" w:lineRule="auto"/>
              <w:jc w:val="both"/>
            </w:pPr>
            <w:r w:rsidRPr="00AE0F1B">
              <w:rPr>
                <w:b/>
                <w:bCs/>
                <w:color w:val="FFFFFF"/>
              </w:rPr>
              <w:t>Committee Source</w:t>
            </w:r>
          </w:p>
        </w:tc>
        <w:tc>
          <w:tcPr>
            <w:tcW w:w="3626"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tcPr>
          <w:p w14:paraId="12A5D69B" w14:textId="77777777" w:rsidR="00925EB7" w:rsidRPr="00AE0F1B" w:rsidRDefault="00F32753" w:rsidP="007E184B">
            <w:pPr>
              <w:spacing w:after="40" w:line="276" w:lineRule="auto"/>
              <w:jc w:val="both"/>
            </w:pPr>
            <w:r w:rsidRPr="00AE0F1B">
              <w:rPr>
                <w:b/>
                <w:bCs/>
                <w:color w:val="FFFFFF"/>
              </w:rPr>
              <w:t>Mitigation / Action</w:t>
            </w:r>
          </w:p>
        </w:tc>
      </w:tr>
      <w:tr w:rsidR="00925EB7" w:rsidRPr="00AE0F1B" w14:paraId="26B59429" w14:textId="77777777">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A11CA43" w14:textId="77777777" w:rsidR="00925EB7" w:rsidRPr="00AE0F1B" w:rsidRDefault="00F32753" w:rsidP="007E184B">
            <w:pPr>
              <w:spacing w:after="40" w:line="276" w:lineRule="auto"/>
            </w:pPr>
            <w:r w:rsidRPr="00AE0F1B">
              <w:t>Lecturer capacity near-threshold</w:t>
            </w:r>
          </w:p>
        </w:tc>
        <w:tc>
          <w:tcPr>
            <w:tcW w:w="800" w:type="dxa"/>
            <w:tcBorders>
              <w:top w:val="single" w:sz="1" w:space="0" w:color="AAAAAA"/>
              <w:left w:val="single" w:sz="1" w:space="0" w:color="AAAAAA"/>
              <w:bottom w:val="single" w:sz="1" w:space="0" w:color="AAAAAA"/>
              <w:right w:val="single" w:sz="1" w:space="0" w:color="AAAAAA"/>
            </w:tcBorders>
            <w:shd w:val="clear" w:color="auto" w:fill="FCE4EC"/>
            <w:tcMar>
              <w:top w:w="60" w:type="dxa"/>
              <w:left w:w="100" w:type="dxa"/>
              <w:bottom w:w="60" w:type="dxa"/>
              <w:right w:w="100" w:type="dxa"/>
            </w:tcMar>
          </w:tcPr>
          <w:p w14:paraId="67893219" w14:textId="77777777" w:rsidR="00925EB7" w:rsidRPr="00AE0F1B" w:rsidRDefault="00F32753" w:rsidP="007E184B">
            <w:pPr>
              <w:spacing w:after="40" w:line="276" w:lineRule="auto"/>
            </w:pPr>
            <w:r w:rsidRPr="00AE0F1B">
              <w:t>Red</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553C70C" w14:textId="77777777" w:rsidR="00925EB7" w:rsidRPr="00AE0F1B" w:rsidRDefault="00F32753" w:rsidP="007E184B">
            <w:pPr>
              <w:spacing w:after="40" w:line="276" w:lineRule="auto"/>
            </w:pPr>
            <w:r w:rsidRPr="00AE0F1B">
              <w:t>People &amp; Culture</w:t>
            </w:r>
          </w:p>
        </w:tc>
        <w:tc>
          <w:tcPr>
            <w:tcW w:w="362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A07C24B" w14:textId="77777777" w:rsidR="00925EB7" w:rsidRPr="00AE0F1B" w:rsidRDefault="00F32753" w:rsidP="007E184B">
            <w:pPr>
              <w:spacing w:after="40" w:line="276" w:lineRule="auto"/>
            </w:pPr>
            <w:r w:rsidRPr="00AE0F1B">
              <w:t>12 FT lecturer roles in active recruitment; target start 1 May 2026</w:t>
            </w:r>
          </w:p>
        </w:tc>
      </w:tr>
      <w:tr w:rsidR="00925EB7" w:rsidRPr="00AE0F1B" w14:paraId="55542589" w14:textId="77777777">
        <w:tc>
          <w:tcPr>
            <w:tcW w:w="24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1F01A55D" w14:textId="77777777" w:rsidR="00925EB7" w:rsidRPr="00AE0F1B" w:rsidRDefault="00F32753" w:rsidP="007E184B">
            <w:pPr>
              <w:spacing w:after="40" w:line="276" w:lineRule="auto"/>
            </w:pPr>
            <w:r w:rsidRPr="00AE0F1B">
              <w:t>Mandatory training compliance</w:t>
            </w:r>
          </w:p>
        </w:tc>
        <w:tc>
          <w:tcPr>
            <w:tcW w:w="800" w:type="dxa"/>
            <w:tcBorders>
              <w:top w:val="single" w:sz="1" w:space="0" w:color="AAAAAA"/>
              <w:left w:val="single" w:sz="1" w:space="0" w:color="AAAAAA"/>
              <w:bottom w:val="single" w:sz="1" w:space="0" w:color="AAAAAA"/>
              <w:right w:val="single" w:sz="1" w:space="0" w:color="AAAAAA"/>
            </w:tcBorders>
            <w:shd w:val="clear" w:color="auto" w:fill="FCE4EC"/>
            <w:tcMar>
              <w:top w:w="60" w:type="dxa"/>
              <w:left w:w="100" w:type="dxa"/>
              <w:bottom w:w="60" w:type="dxa"/>
              <w:right w:w="100" w:type="dxa"/>
            </w:tcMar>
          </w:tcPr>
          <w:p w14:paraId="1D31AAAB" w14:textId="77777777" w:rsidR="00925EB7" w:rsidRPr="00AE0F1B" w:rsidRDefault="00F32753" w:rsidP="007E184B">
            <w:pPr>
              <w:spacing w:after="40" w:line="276" w:lineRule="auto"/>
            </w:pPr>
            <w:r w:rsidRPr="00AE0F1B">
              <w:t>Red</w:t>
            </w:r>
          </w:p>
        </w:tc>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156D1959" w14:textId="77777777" w:rsidR="00925EB7" w:rsidRPr="00AE0F1B" w:rsidRDefault="00F32753" w:rsidP="007E184B">
            <w:pPr>
              <w:spacing w:after="40" w:line="276" w:lineRule="auto"/>
            </w:pPr>
            <w:r w:rsidRPr="00AE0F1B">
              <w:t>People &amp; Culture</w:t>
            </w:r>
          </w:p>
        </w:tc>
        <w:tc>
          <w:tcPr>
            <w:tcW w:w="3626"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157219CA" w14:textId="77777777" w:rsidR="00925EB7" w:rsidRPr="00AE0F1B" w:rsidRDefault="00F32753" w:rsidP="007E184B">
            <w:pPr>
              <w:spacing w:after="40" w:line="276" w:lineRule="auto"/>
            </w:pPr>
            <w:r w:rsidRPr="00AE0F1B">
              <w:t>100% completion target set; HR monitoring</w:t>
            </w:r>
          </w:p>
        </w:tc>
      </w:tr>
      <w:tr w:rsidR="00925EB7" w:rsidRPr="00AE0F1B" w14:paraId="3C1CF030" w14:textId="77777777">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830D9BB" w14:textId="77777777" w:rsidR="00925EB7" w:rsidRPr="00AE0F1B" w:rsidRDefault="00F32753" w:rsidP="007E184B">
            <w:pPr>
              <w:spacing w:after="40" w:line="276" w:lineRule="auto"/>
            </w:pPr>
            <w:r w:rsidRPr="00AE0F1B">
              <w:t>Pay inconsistency across roles</w:t>
            </w:r>
          </w:p>
        </w:tc>
        <w:tc>
          <w:tcPr>
            <w:tcW w:w="80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00" w:type="dxa"/>
              <w:bottom w:w="60" w:type="dxa"/>
              <w:right w:w="100" w:type="dxa"/>
            </w:tcMar>
          </w:tcPr>
          <w:p w14:paraId="251D900F" w14:textId="77777777" w:rsidR="00925EB7" w:rsidRPr="00AE0F1B" w:rsidRDefault="00F32753" w:rsidP="007E184B">
            <w:pPr>
              <w:spacing w:after="40" w:line="276" w:lineRule="auto"/>
            </w:pPr>
            <w:r w:rsidRPr="00AE0F1B">
              <w:t>Amber</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A2C60F8" w14:textId="77777777" w:rsidR="00925EB7" w:rsidRPr="00AE0F1B" w:rsidRDefault="00F32753" w:rsidP="007E184B">
            <w:pPr>
              <w:spacing w:after="40" w:line="276" w:lineRule="auto"/>
            </w:pPr>
            <w:r w:rsidRPr="00AE0F1B">
              <w:t>People &amp; Culture</w:t>
            </w:r>
          </w:p>
        </w:tc>
        <w:tc>
          <w:tcPr>
            <w:tcW w:w="362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390FBEA" w14:textId="77777777" w:rsidR="00925EB7" w:rsidRPr="00AE0F1B" w:rsidRDefault="00F32753" w:rsidP="007E184B">
            <w:pPr>
              <w:spacing w:after="40" w:line="276" w:lineRule="auto"/>
            </w:pPr>
            <w:r w:rsidRPr="00AE0F1B">
              <w:t>Pay banding framework due September 2026</w:t>
            </w:r>
          </w:p>
        </w:tc>
      </w:tr>
      <w:tr w:rsidR="00925EB7" w:rsidRPr="00AE0F1B" w14:paraId="4FACEEEB" w14:textId="77777777">
        <w:tc>
          <w:tcPr>
            <w:tcW w:w="24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3D373369" w14:textId="77777777" w:rsidR="00925EB7" w:rsidRPr="00AE0F1B" w:rsidRDefault="00F32753" w:rsidP="007E184B">
            <w:pPr>
              <w:spacing w:after="40" w:line="276" w:lineRule="auto"/>
            </w:pPr>
            <w:r w:rsidRPr="00AE0F1B">
              <w:t>No formal independent internal auditor</w:t>
            </w:r>
          </w:p>
        </w:tc>
        <w:tc>
          <w:tcPr>
            <w:tcW w:w="80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00" w:type="dxa"/>
              <w:bottom w:w="60" w:type="dxa"/>
              <w:right w:w="100" w:type="dxa"/>
            </w:tcMar>
          </w:tcPr>
          <w:p w14:paraId="09BC120C" w14:textId="77777777" w:rsidR="00925EB7" w:rsidRPr="00AE0F1B" w:rsidRDefault="00F32753" w:rsidP="007E184B">
            <w:pPr>
              <w:spacing w:after="40" w:line="276" w:lineRule="auto"/>
            </w:pPr>
            <w:r w:rsidRPr="00AE0F1B">
              <w:t>Amber</w:t>
            </w:r>
          </w:p>
        </w:tc>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0F0D141B" w14:textId="77777777" w:rsidR="00925EB7" w:rsidRPr="00AE0F1B" w:rsidRDefault="00F32753" w:rsidP="007E184B">
            <w:pPr>
              <w:spacing w:after="40" w:line="276" w:lineRule="auto"/>
            </w:pPr>
            <w:r w:rsidRPr="00AE0F1B">
              <w:t>Audit, Risk &amp; Finance</w:t>
            </w:r>
          </w:p>
        </w:tc>
        <w:tc>
          <w:tcPr>
            <w:tcW w:w="3626"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03C8F6B3" w14:textId="77777777" w:rsidR="00925EB7" w:rsidRPr="00AE0F1B" w:rsidRDefault="00F32753" w:rsidP="007E184B">
            <w:pPr>
              <w:spacing w:after="40" w:line="276" w:lineRule="auto"/>
            </w:pPr>
            <w:r w:rsidRPr="00AE0F1B">
              <w:t>Management exploring cost-effective options</w:t>
            </w:r>
          </w:p>
        </w:tc>
      </w:tr>
      <w:tr w:rsidR="00925EB7" w:rsidRPr="00AE0F1B" w14:paraId="786E906C" w14:textId="77777777">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856888F" w14:textId="77777777" w:rsidR="00925EB7" w:rsidRPr="00AE0F1B" w:rsidRDefault="00F32753" w:rsidP="007E184B">
            <w:pPr>
              <w:spacing w:after="40" w:line="276" w:lineRule="auto"/>
            </w:pPr>
            <w:r w:rsidRPr="00AE0F1B">
              <w:t>CRM system gap</w:t>
            </w:r>
          </w:p>
        </w:tc>
        <w:tc>
          <w:tcPr>
            <w:tcW w:w="80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00" w:type="dxa"/>
              <w:bottom w:w="60" w:type="dxa"/>
              <w:right w:w="100" w:type="dxa"/>
            </w:tcMar>
          </w:tcPr>
          <w:p w14:paraId="6AC1B1F5" w14:textId="77777777" w:rsidR="00925EB7" w:rsidRPr="00AE0F1B" w:rsidRDefault="00F32753" w:rsidP="007E184B">
            <w:pPr>
              <w:spacing w:after="40" w:line="276" w:lineRule="auto"/>
            </w:pPr>
            <w:r w:rsidRPr="00AE0F1B">
              <w:t>Amber</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3D5064E" w14:textId="77777777" w:rsidR="00925EB7" w:rsidRPr="00AE0F1B" w:rsidRDefault="00F32753" w:rsidP="007E184B">
            <w:pPr>
              <w:spacing w:after="40" w:line="276" w:lineRule="auto"/>
            </w:pPr>
            <w:r w:rsidRPr="00AE0F1B">
              <w:t>Operations &amp; Infrastructure</w:t>
            </w:r>
          </w:p>
        </w:tc>
        <w:tc>
          <w:tcPr>
            <w:tcW w:w="362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E5FB34E" w14:textId="77777777" w:rsidR="00925EB7" w:rsidRPr="00AE0F1B" w:rsidRDefault="00F32753" w:rsidP="007E184B">
            <w:pPr>
              <w:spacing w:after="40" w:line="276" w:lineRule="auto"/>
            </w:pPr>
            <w:r w:rsidRPr="00AE0F1B">
              <w:t>Procurement needed; timeline to be clarified</w:t>
            </w:r>
          </w:p>
        </w:tc>
      </w:tr>
      <w:tr w:rsidR="00925EB7" w:rsidRPr="00AE0F1B" w14:paraId="53ECCA99" w14:textId="77777777">
        <w:tc>
          <w:tcPr>
            <w:tcW w:w="24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44A77E50" w14:textId="77777777" w:rsidR="00925EB7" w:rsidRPr="00AE0F1B" w:rsidRDefault="00F32753" w:rsidP="007E184B">
            <w:pPr>
              <w:spacing w:after="40" w:line="276" w:lineRule="auto"/>
            </w:pPr>
            <w:r w:rsidRPr="00AE0F1B">
              <w:t>Student recruitment concentration</w:t>
            </w:r>
          </w:p>
        </w:tc>
        <w:tc>
          <w:tcPr>
            <w:tcW w:w="80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00" w:type="dxa"/>
              <w:bottom w:w="60" w:type="dxa"/>
              <w:right w:w="100" w:type="dxa"/>
            </w:tcMar>
          </w:tcPr>
          <w:p w14:paraId="68A59F4C" w14:textId="77777777" w:rsidR="00925EB7" w:rsidRPr="00AE0F1B" w:rsidRDefault="00F32753" w:rsidP="007E184B">
            <w:pPr>
              <w:spacing w:after="40" w:line="276" w:lineRule="auto"/>
            </w:pPr>
            <w:r w:rsidRPr="00AE0F1B">
              <w:t>Amber</w:t>
            </w:r>
          </w:p>
        </w:tc>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34DD1774" w14:textId="77777777" w:rsidR="00925EB7" w:rsidRPr="00AE0F1B" w:rsidRDefault="00F32753" w:rsidP="007E184B">
            <w:pPr>
              <w:spacing w:after="40" w:line="276" w:lineRule="auto"/>
            </w:pPr>
            <w:r w:rsidRPr="00AE0F1B">
              <w:t>Audit, Risk &amp; Finance</w:t>
            </w:r>
          </w:p>
        </w:tc>
        <w:tc>
          <w:tcPr>
            <w:tcW w:w="3626"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20D985C0" w14:textId="77777777" w:rsidR="00925EB7" w:rsidRPr="00AE0F1B" w:rsidRDefault="00F32753" w:rsidP="007E184B">
            <w:pPr>
              <w:spacing w:after="40" w:line="276" w:lineRule="auto"/>
            </w:pPr>
            <w:r w:rsidRPr="00AE0F1B">
              <w:t>Income diversification strategies under development</w:t>
            </w:r>
          </w:p>
        </w:tc>
      </w:tr>
      <w:tr w:rsidR="00925EB7" w:rsidRPr="00AE0F1B" w14:paraId="0B81133C" w14:textId="77777777">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E254419" w14:textId="77777777" w:rsidR="00925EB7" w:rsidRPr="00AE0F1B" w:rsidRDefault="00F32753" w:rsidP="007E184B">
            <w:pPr>
              <w:spacing w:after="40" w:line="276" w:lineRule="auto"/>
            </w:pPr>
            <w:r w:rsidRPr="00AE0F1B">
              <w:t>Timetabling manual processes</w:t>
            </w:r>
          </w:p>
        </w:tc>
        <w:tc>
          <w:tcPr>
            <w:tcW w:w="80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00" w:type="dxa"/>
              <w:bottom w:w="60" w:type="dxa"/>
              <w:right w:w="100" w:type="dxa"/>
            </w:tcMar>
          </w:tcPr>
          <w:p w14:paraId="36B237DE" w14:textId="77777777" w:rsidR="00925EB7" w:rsidRPr="00AE0F1B" w:rsidRDefault="00F32753" w:rsidP="007E184B">
            <w:pPr>
              <w:spacing w:after="40" w:line="276" w:lineRule="auto"/>
            </w:pPr>
            <w:r w:rsidRPr="00AE0F1B">
              <w:t>Amber</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E160FBF" w14:textId="77777777" w:rsidR="00925EB7" w:rsidRPr="00AE0F1B" w:rsidRDefault="00F32753" w:rsidP="007E184B">
            <w:pPr>
              <w:spacing w:after="40" w:line="276" w:lineRule="auto"/>
            </w:pPr>
            <w:r w:rsidRPr="00AE0F1B">
              <w:t>Operations &amp; Infrastructure</w:t>
            </w:r>
          </w:p>
        </w:tc>
        <w:tc>
          <w:tcPr>
            <w:tcW w:w="362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F66F2E5" w14:textId="77777777" w:rsidR="00925EB7" w:rsidRPr="00AE0F1B" w:rsidRDefault="00F32753" w:rsidP="007E184B">
            <w:pPr>
              <w:spacing w:after="40" w:line="276" w:lineRule="auto"/>
            </w:pPr>
            <w:r w:rsidRPr="00AE0F1B">
              <w:t>Software procurement in progress</w:t>
            </w:r>
          </w:p>
        </w:tc>
      </w:tr>
      <w:tr w:rsidR="00925EB7" w:rsidRPr="00AE0F1B" w14:paraId="476E718C" w14:textId="77777777">
        <w:tc>
          <w:tcPr>
            <w:tcW w:w="24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71CBA8AE" w14:textId="77777777" w:rsidR="00925EB7" w:rsidRPr="00AE0F1B" w:rsidRDefault="00F32753" w:rsidP="007E184B">
            <w:pPr>
              <w:spacing w:after="40" w:line="276" w:lineRule="auto"/>
            </w:pPr>
            <w:r w:rsidRPr="00AE0F1B">
              <w:t>Student withdrawals and attendance</w:t>
            </w:r>
          </w:p>
        </w:tc>
        <w:tc>
          <w:tcPr>
            <w:tcW w:w="80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00" w:type="dxa"/>
              <w:bottom w:w="60" w:type="dxa"/>
              <w:right w:w="100" w:type="dxa"/>
            </w:tcMar>
          </w:tcPr>
          <w:p w14:paraId="2D130AC8" w14:textId="77777777" w:rsidR="00925EB7" w:rsidRPr="00AE0F1B" w:rsidRDefault="00F32753" w:rsidP="007E184B">
            <w:pPr>
              <w:spacing w:after="40" w:line="276" w:lineRule="auto"/>
            </w:pPr>
            <w:r w:rsidRPr="00AE0F1B">
              <w:t>Amber</w:t>
            </w:r>
          </w:p>
        </w:tc>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4E915FF7" w14:textId="77777777" w:rsidR="00925EB7" w:rsidRPr="00AE0F1B" w:rsidRDefault="00F32753" w:rsidP="007E184B">
            <w:pPr>
              <w:spacing w:after="40" w:line="276" w:lineRule="auto"/>
            </w:pPr>
            <w:r w:rsidRPr="00AE0F1B">
              <w:t>Operations &amp; Infrastructure</w:t>
            </w:r>
          </w:p>
        </w:tc>
        <w:tc>
          <w:tcPr>
            <w:tcW w:w="3626"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3A1B613F" w14:textId="77777777" w:rsidR="00925EB7" w:rsidRPr="00AE0F1B" w:rsidRDefault="00F32753" w:rsidP="007E184B">
            <w:pPr>
              <w:spacing w:after="40" w:line="276" w:lineRule="auto"/>
            </w:pPr>
            <w:r w:rsidRPr="00AE0F1B">
              <w:t>SEAtS system deployed; cohort review underway</w:t>
            </w:r>
          </w:p>
        </w:tc>
      </w:tr>
      <w:tr w:rsidR="00925EB7" w:rsidRPr="00AE0F1B" w14:paraId="5CD141C8" w14:textId="77777777">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306E285" w14:textId="77777777" w:rsidR="00925EB7" w:rsidRPr="00AE0F1B" w:rsidRDefault="00F32753" w:rsidP="007E184B">
            <w:pPr>
              <w:spacing w:after="40" w:line="276" w:lineRule="auto"/>
            </w:pPr>
            <w:r w:rsidRPr="00AE0F1B">
              <w:t>EDI data and workforce diversity</w:t>
            </w:r>
          </w:p>
        </w:tc>
        <w:tc>
          <w:tcPr>
            <w:tcW w:w="800" w:type="dxa"/>
            <w:tcBorders>
              <w:top w:val="single" w:sz="1" w:space="0" w:color="AAAAAA"/>
              <w:left w:val="single" w:sz="1" w:space="0" w:color="AAAAAA"/>
              <w:bottom w:val="single" w:sz="1" w:space="0" w:color="AAAAAA"/>
              <w:right w:val="single" w:sz="1" w:space="0" w:color="AAAAAA"/>
            </w:tcBorders>
            <w:shd w:val="clear" w:color="auto" w:fill="E2EFDA"/>
            <w:tcMar>
              <w:top w:w="60" w:type="dxa"/>
              <w:left w:w="100" w:type="dxa"/>
              <w:bottom w:w="60" w:type="dxa"/>
              <w:right w:w="100" w:type="dxa"/>
            </w:tcMar>
          </w:tcPr>
          <w:p w14:paraId="6A2D0046" w14:textId="77777777" w:rsidR="00925EB7" w:rsidRPr="00AE0F1B" w:rsidRDefault="00F32753" w:rsidP="007E184B">
            <w:pPr>
              <w:spacing w:after="40" w:line="276" w:lineRule="auto"/>
            </w:pPr>
            <w:r w:rsidRPr="00AE0F1B">
              <w:t>Green</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B70764A" w14:textId="77777777" w:rsidR="00925EB7" w:rsidRPr="00AE0F1B" w:rsidRDefault="00F32753" w:rsidP="007E184B">
            <w:pPr>
              <w:spacing w:after="40" w:line="276" w:lineRule="auto"/>
            </w:pPr>
            <w:r w:rsidRPr="00AE0F1B">
              <w:t>People &amp; Culture</w:t>
            </w:r>
          </w:p>
        </w:tc>
        <w:tc>
          <w:tcPr>
            <w:tcW w:w="362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476CE34" w14:textId="77777777" w:rsidR="00925EB7" w:rsidRPr="00AE0F1B" w:rsidRDefault="00F32753" w:rsidP="007E184B">
            <w:pPr>
              <w:spacing w:after="40" w:line="276" w:lineRule="auto"/>
            </w:pPr>
            <w:r w:rsidRPr="00AE0F1B">
              <w:t>Baseline established Feb 2026; targets to be set</w:t>
            </w:r>
          </w:p>
        </w:tc>
      </w:tr>
    </w:tbl>
    <w:p w14:paraId="62D58BE4" w14:textId="77777777" w:rsidR="00925EB7" w:rsidRPr="00AE0F1B" w:rsidRDefault="00925EB7" w:rsidP="007E184B">
      <w:pPr>
        <w:spacing w:after="20" w:line="276" w:lineRule="auto"/>
      </w:pPr>
    </w:p>
    <w:p w14:paraId="35649BCC" w14:textId="77777777" w:rsidR="00925EB7" w:rsidRPr="00AE0F1B" w:rsidRDefault="00F32753" w:rsidP="007E184B">
      <w:pPr>
        <w:spacing w:after="120" w:line="276" w:lineRule="auto"/>
        <w:jc w:val="both"/>
      </w:pPr>
      <w:r w:rsidRPr="00AE0F1B">
        <w:rPr>
          <w:b/>
          <w:bCs/>
        </w:rPr>
        <w:t xml:space="preserve">Assessment: </w:t>
      </w:r>
      <w:r w:rsidRPr="00AE0F1B">
        <w:t>The Board is satisfied that a functioning risk management framework is in place and that committees are actively identifying, escalating, and monitoring risks. The Board notes that the risk register should be presented as a standing item at each Board meeting (not only at committee level) and that documented ownership of mitigation actions for top-tier risks requires strengthening.</w:t>
      </w:r>
    </w:p>
    <w:p w14:paraId="6FB99F26" w14:textId="77777777" w:rsidR="00925EB7" w:rsidRPr="00AE0F1B" w:rsidRDefault="00F32753" w:rsidP="007E184B">
      <w:pPr>
        <w:pBdr>
          <w:bottom w:val="single" w:sz="3" w:space="4" w:color="1F3864"/>
        </w:pBdr>
        <w:spacing w:before="300" w:after="140" w:line="276" w:lineRule="auto"/>
      </w:pPr>
      <w:r w:rsidRPr="00AE0F1B">
        <w:rPr>
          <w:b/>
          <w:bCs/>
          <w:color w:val="1F3864"/>
        </w:rPr>
        <w:t>6. Financial Oversight</w:t>
      </w:r>
    </w:p>
    <w:p w14:paraId="3F1B5DEE" w14:textId="77777777" w:rsidR="00925EB7" w:rsidRPr="00AE0F1B" w:rsidRDefault="00F32753" w:rsidP="007E184B">
      <w:pPr>
        <w:spacing w:after="120" w:line="276" w:lineRule="auto"/>
        <w:jc w:val="both"/>
      </w:pPr>
      <w:r w:rsidRPr="00AE0F1B">
        <w:t>The ARFC has provided the Board with assurance that the institution is financially viable and sustainable in line with OfS Condition E3. Key indicators include net turnover of approximately £3.3 million, a profit of £66,467 for FY2025, and cash balances outperforming forecast in all reported months.</w:t>
      </w:r>
    </w:p>
    <w:p w14:paraId="17EF474F" w14:textId="633230FE" w:rsidR="00925EB7" w:rsidRPr="00AE0F1B" w:rsidRDefault="00F32753" w:rsidP="007E184B">
      <w:pPr>
        <w:spacing w:after="120" w:line="276" w:lineRule="auto"/>
        <w:jc w:val="both"/>
      </w:pPr>
      <w:r w:rsidRPr="00AE0F1B">
        <w:t xml:space="preserve">The ARFC has also confirmed that the financial control framework is adequate, with no fraud or whistleblowing incidents reported. The external audit process is ongoing, and the Fraud and Anti-Bribery Policy </w:t>
      </w:r>
      <w:r w:rsidR="001571E7" w:rsidRPr="00AE0F1B">
        <w:t>have</w:t>
      </w:r>
      <w:r w:rsidRPr="00AE0F1B">
        <w:t xml:space="preserve"> been reviewed and approved.</w:t>
      </w:r>
    </w:p>
    <w:p w14:paraId="518F5EFD" w14:textId="77777777" w:rsidR="00925EB7" w:rsidRPr="00AE0F1B" w:rsidRDefault="00925EB7" w:rsidP="007E184B">
      <w:pPr>
        <w:spacing w:after="20" w:line="276" w:lineRule="auto"/>
        <w:jc w:val="both"/>
      </w:pPr>
    </w:p>
    <w:p w14:paraId="043C0015" w14:textId="77777777" w:rsidR="00925EB7" w:rsidRPr="00AE0F1B" w:rsidRDefault="00F32753" w:rsidP="007E184B">
      <w:pPr>
        <w:spacing w:after="120" w:line="276" w:lineRule="auto"/>
        <w:jc w:val="both"/>
      </w:pPr>
      <w:r w:rsidRPr="00AE0F1B">
        <w:rPr>
          <w:b/>
          <w:bCs/>
        </w:rPr>
        <w:t xml:space="preserve">Assessment: </w:t>
      </w:r>
      <w:r w:rsidRPr="00AE0F1B">
        <w:t>The Board is satisfied with the current financial position. However, it notes the identified risks around student recruitment dependency, fixed cost exposure, and loan repayment obligations. The Board expects management to continue enhanced monitoring of the recruitment pipeline and to escalate any material deterioration in cash flow forecasts. The Board also expects the appointment of a formal internal auditor to be progressed as a priority to strengthen independent financial assurance.</w:t>
      </w:r>
    </w:p>
    <w:p w14:paraId="0CDBD5E3" w14:textId="77777777" w:rsidR="00925EB7" w:rsidRPr="00AE0F1B" w:rsidRDefault="00F32753" w:rsidP="007E184B">
      <w:pPr>
        <w:pBdr>
          <w:bottom w:val="single" w:sz="3" w:space="4" w:color="1F3864"/>
        </w:pBdr>
        <w:spacing w:before="300" w:after="140" w:line="276" w:lineRule="auto"/>
      </w:pPr>
      <w:r w:rsidRPr="00AE0F1B">
        <w:rPr>
          <w:b/>
          <w:bCs/>
          <w:color w:val="1F3864"/>
        </w:rPr>
        <w:t>7. OfS Regulatory Compliance</w:t>
      </w:r>
    </w:p>
    <w:p w14:paraId="68A9180A" w14:textId="77777777" w:rsidR="00925EB7" w:rsidRPr="00AE0F1B" w:rsidRDefault="00F32753" w:rsidP="007E184B">
      <w:pPr>
        <w:spacing w:after="120" w:line="276" w:lineRule="auto"/>
        <w:jc w:val="both"/>
      </w:pPr>
      <w:r w:rsidRPr="00AE0F1B">
        <w:t>The Board maintains oversight of compliance with OfS Conditions of Registration (A–E) through the Governance Officer’s OfS Master Tracker, which is reviewed at each Board and committee meeting. Specific compliance activity during 2025–26 includes:</w:t>
      </w:r>
    </w:p>
    <w:p w14:paraId="3A0C28C6" w14:textId="77777777" w:rsidR="00925EB7" w:rsidRPr="00AE0F1B" w:rsidRDefault="00F32753" w:rsidP="007E184B">
      <w:pPr>
        <w:pStyle w:val="ListParagraph"/>
        <w:numPr>
          <w:ilvl w:val="0"/>
          <w:numId w:val="1"/>
        </w:numPr>
        <w:spacing w:after="120" w:line="276" w:lineRule="auto"/>
        <w:jc w:val="both"/>
      </w:pPr>
      <w:r w:rsidRPr="00AE0F1B">
        <w:t>Governance structures reviewed and strengthened to meet OfS expectations (Condition E).</w:t>
      </w:r>
    </w:p>
    <w:p w14:paraId="7F851868" w14:textId="77777777" w:rsidR="00925EB7" w:rsidRPr="00AE0F1B" w:rsidRDefault="00F32753" w:rsidP="007E184B">
      <w:pPr>
        <w:pStyle w:val="ListParagraph"/>
        <w:numPr>
          <w:ilvl w:val="0"/>
          <w:numId w:val="1"/>
        </w:numPr>
        <w:spacing w:after="120" w:line="276" w:lineRule="auto"/>
        <w:jc w:val="both"/>
      </w:pPr>
      <w:r w:rsidRPr="00AE0F1B">
        <w:t>Financial sustainability confirmed by the ARFC (Condition E3).</w:t>
      </w:r>
    </w:p>
    <w:p w14:paraId="30063DE0" w14:textId="77777777" w:rsidR="00925EB7" w:rsidRPr="00AE0F1B" w:rsidRDefault="00F32753" w:rsidP="007E184B">
      <w:pPr>
        <w:pStyle w:val="ListParagraph"/>
        <w:numPr>
          <w:ilvl w:val="0"/>
          <w:numId w:val="1"/>
        </w:numPr>
        <w:spacing w:after="120" w:line="276" w:lineRule="auto"/>
        <w:jc w:val="both"/>
      </w:pPr>
      <w:r w:rsidRPr="00AE0F1B">
        <w:t>Roles reviewed and rebadged to align with regulatory expectations.</w:t>
      </w:r>
    </w:p>
    <w:p w14:paraId="7A808A05" w14:textId="77777777" w:rsidR="00925EB7" w:rsidRPr="00AE0F1B" w:rsidRDefault="00F32753" w:rsidP="007E184B">
      <w:pPr>
        <w:pStyle w:val="ListParagraph"/>
        <w:numPr>
          <w:ilvl w:val="0"/>
          <w:numId w:val="1"/>
        </w:numPr>
        <w:spacing w:after="120" w:line="276" w:lineRule="auto"/>
        <w:jc w:val="both"/>
      </w:pPr>
      <w:r w:rsidRPr="00AE0F1B">
        <w:t xml:space="preserve">Policies being published on the LAAT website and made </w:t>
      </w:r>
      <w:proofErr w:type="gramStart"/>
      <w:r w:rsidRPr="00AE0F1B">
        <w:t>audit-ready</w:t>
      </w:r>
      <w:proofErr w:type="gramEnd"/>
      <w:r w:rsidRPr="00AE0F1B">
        <w:t>.</w:t>
      </w:r>
    </w:p>
    <w:p w14:paraId="303BE53E" w14:textId="77777777" w:rsidR="00925EB7" w:rsidRPr="00AE0F1B" w:rsidRDefault="00F32753" w:rsidP="007E184B">
      <w:pPr>
        <w:pStyle w:val="ListParagraph"/>
        <w:numPr>
          <w:ilvl w:val="0"/>
          <w:numId w:val="1"/>
        </w:numPr>
        <w:spacing w:after="120" w:line="276" w:lineRule="auto"/>
        <w:jc w:val="both"/>
      </w:pPr>
      <w:r w:rsidRPr="00AE0F1B">
        <w:t>Job descriptions and employee files being structured for audit readiness.</w:t>
      </w:r>
    </w:p>
    <w:p w14:paraId="04D64615" w14:textId="77777777" w:rsidR="00925EB7" w:rsidRPr="00AE0F1B" w:rsidRDefault="00F32753" w:rsidP="007E184B">
      <w:pPr>
        <w:pStyle w:val="ListParagraph"/>
        <w:numPr>
          <w:ilvl w:val="0"/>
          <w:numId w:val="1"/>
        </w:numPr>
        <w:spacing w:after="120" w:line="276" w:lineRule="auto"/>
        <w:jc w:val="both"/>
      </w:pPr>
      <w:r w:rsidRPr="00AE0F1B">
        <w:t>The initial OfS registration document has been submitted.</w:t>
      </w:r>
    </w:p>
    <w:p w14:paraId="1A100001" w14:textId="77777777" w:rsidR="004A78D2" w:rsidRPr="00AE0F1B" w:rsidRDefault="00F32753" w:rsidP="007E184B">
      <w:pPr>
        <w:pStyle w:val="ListParagraph"/>
        <w:numPr>
          <w:ilvl w:val="0"/>
          <w:numId w:val="3"/>
        </w:numPr>
        <w:spacing w:after="80" w:line="276" w:lineRule="auto"/>
        <w:jc w:val="both"/>
      </w:pPr>
      <w:r w:rsidRPr="00AE0F1B">
        <w:t>Fit and proper persons assessments completed for all four governors in accordance with OfS Condition E9. OFSI financial sanctions searches and internet and adverse media searches completed \u2014 nil results confirmed for all governors. Assessment notes signed by the Accountable Officer. Self-declarations held for all four governors. Companies House searches conducted. SLT and Director declarations in progress; OFSI searches completed for all SLT members (nil results). Assessment notes for SLT to be completed upon receipt of declarations.</w:t>
      </w:r>
    </w:p>
    <w:p w14:paraId="2B4B3CD7" w14:textId="77777777" w:rsidR="00925EB7" w:rsidRPr="00AE0F1B" w:rsidRDefault="00925EB7" w:rsidP="007E184B">
      <w:pPr>
        <w:spacing w:after="20" w:line="276" w:lineRule="auto"/>
      </w:pPr>
    </w:p>
    <w:p w14:paraId="0069DA34" w14:textId="77777777" w:rsidR="00925EB7" w:rsidRPr="00AE0F1B" w:rsidRDefault="00F32753" w:rsidP="007E184B">
      <w:pPr>
        <w:spacing w:after="120" w:line="276" w:lineRule="auto"/>
        <w:jc w:val="both"/>
      </w:pPr>
      <w:r w:rsidRPr="00AE0F1B">
        <w:rPr>
          <w:b/>
          <w:bCs/>
        </w:rPr>
        <w:t xml:space="preserve">Assessment: </w:t>
      </w:r>
      <w:r w:rsidRPr="00AE0F1B">
        <w:t>The Board is satisfied that substantive progress has been made toward OfS registration readiness. The Board recognises that ongoing vigilance is required across all conditions and that the OfS Master Tracker should continue to be reviewed as a standing item at every Board meeting. The Board also notes the strategic importance of OfS registration for both financial sustainability and student recruitment continuity, as highlighted by the ARFC.</w:t>
      </w:r>
    </w:p>
    <w:p w14:paraId="77E4A50D" w14:textId="77777777" w:rsidR="00925EB7" w:rsidRPr="00AE0F1B" w:rsidRDefault="00F32753" w:rsidP="007E184B">
      <w:pPr>
        <w:pBdr>
          <w:bottom w:val="single" w:sz="3" w:space="4" w:color="1F3864"/>
        </w:pBdr>
        <w:spacing w:before="300" w:after="140" w:line="276" w:lineRule="auto"/>
      </w:pPr>
      <w:r w:rsidRPr="00AE0F1B">
        <w:rPr>
          <w:b/>
          <w:bCs/>
          <w:color w:val="1F3864"/>
        </w:rPr>
        <w:t>7A. Fit and Proper Persons — OfS Condition E9</w:t>
      </w:r>
    </w:p>
    <w:p w14:paraId="1A100010" w14:textId="77777777" w:rsidR="00925EB7" w:rsidRPr="00AE0F1B" w:rsidRDefault="00F32753" w:rsidP="007E184B">
      <w:pPr>
        <w:spacing w:after="120" w:line="276" w:lineRule="auto"/>
        <w:jc w:val="both"/>
      </w:pPr>
      <w:r w:rsidRPr="00AE0F1B">
        <w:t>OfS Condition E9 (effective 28 August 2025) requires LAAT to demonstrate on an ongoing basis that all relevant individuals responsible for the governance and management of the institution are fit and proper persons. The condition has two parts: Part 1 requires that key individuals (Chair, Accountable Officer, Finance Senior Manager, and one independent governor) have sufficient knowledge and expertise for their roles; Part 2 requires that all relevant individuals meet the fit and proper person standard. The OfS will interview key individuals as part of the registration assessment.</w:t>
      </w:r>
    </w:p>
    <w:p w14:paraId="1A100011" w14:textId="2E910BF7" w:rsidR="00925EB7" w:rsidRPr="00AE0F1B" w:rsidRDefault="00F32753" w:rsidP="007E184B">
      <w:pPr>
        <w:spacing w:after="80" w:line="276" w:lineRule="auto"/>
        <w:jc w:val="both"/>
      </w:pPr>
      <w:r w:rsidRPr="00AE0F1B">
        <w:rPr>
          <w:b/>
          <w:bCs/>
        </w:rPr>
        <w:t xml:space="preserve">Evidence completed for governors (as </w:t>
      </w:r>
      <w:r w:rsidR="005D72A6" w:rsidRPr="00AE0F1B">
        <w:rPr>
          <w:b/>
          <w:bCs/>
        </w:rPr>
        <w:t>of</w:t>
      </w:r>
      <w:r w:rsidRPr="00AE0F1B">
        <w:rPr>
          <w:b/>
          <w:bCs/>
        </w:rPr>
        <w:t xml:space="preserve"> April 2026):</w:t>
      </w:r>
    </w:p>
    <w:p w14:paraId="1A100012" w14:textId="77777777" w:rsidR="00925EB7" w:rsidRPr="00AE0F1B" w:rsidRDefault="00F32753" w:rsidP="007E184B">
      <w:pPr>
        <w:pStyle w:val="ListParagraph"/>
        <w:numPr>
          <w:ilvl w:val="0"/>
          <w:numId w:val="3"/>
        </w:numPr>
        <w:spacing w:after="60" w:line="276" w:lineRule="auto"/>
        <w:jc w:val="both"/>
      </w:pPr>
      <w:r w:rsidRPr="00AE0F1B">
        <w:t>Signed fit and proper self-declarations held for all four governors (Bola Makinde, Mark Bentley, Dr Sarah McAdam, Dr Simon Evans).</w:t>
      </w:r>
    </w:p>
    <w:p w14:paraId="1A100013" w14:textId="77777777" w:rsidR="00925EB7" w:rsidRPr="00AE0F1B" w:rsidRDefault="00F32753" w:rsidP="007E184B">
      <w:pPr>
        <w:pStyle w:val="ListParagraph"/>
        <w:numPr>
          <w:ilvl w:val="0"/>
          <w:numId w:val="3"/>
        </w:numPr>
        <w:spacing w:after="60" w:line="276" w:lineRule="auto"/>
        <w:jc w:val="both"/>
      </w:pPr>
      <w:r w:rsidRPr="00AE0F1B">
        <w:t>CVs held for three governors. Dr Simon Evans\u2019 CV outstanding; his assessment note is provisional pending receipt.</w:t>
      </w:r>
    </w:p>
    <w:p w14:paraId="1A100014" w14:textId="77777777" w:rsidR="00925EB7" w:rsidRPr="00AE0F1B" w:rsidRDefault="00F32753" w:rsidP="007E184B">
      <w:pPr>
        <w:pStyle w:val="ListParagraph"/>
        <w:numPr>
          <w:ilvl w:val="0"/>
          <w:numId w:val="3"/>
        </w:numPr>
        <w:spacing w:after="60" w:line="276" w:lineRule="auto"/>
        <w:jc w:val="both"/>
      </w:pPr>
      <w:r w:rsidRPr="00AE0F1B">
        <w:t>Fit and proper assessment notes drafted for all four governors and signed by the Accountable Officer (completed 16 April 2026).</w:t>
      </w:r>
    </w:p>
    <w:p w14:paraId="1A100015" w14:textId="77777777" w:rsidR="00925EB7" w:rsidRPr="00AE0F1B" w:rsidRDefault="00F32753" w:rsidP="007E184B">
      <w:pPr>
        <w:pStyle w:val="ListParagraph"/>
        <w:numPr>
          <w:ilvl w:val="0"/>
          <w:numId w:val="3"/>
        </w:numPr>
        <w:spacing w:after="60" w:line="276" w:lineRule="auto"/>
        <w:jc w:val="both"/>
      </w:pPr>
      <w:r w:rsidRPr="00AE0F1B">
        <w:t>OFSI UK financial sanctions list searches completed 16 April 2026 for all four governors \u2014 nil results confirmed. Internet and adverse media searches completed 16 April 2026 for all four governors \u2014 nil results confirmed.</w:t>
      </w:r>
    </w:p>
    <w:p w14:paraId="1A100016" w14:textId="77777777" w:rsidR="00925EB7" w:rsidRPr="00AE0F1B" w:rsidRDefault="00F32753" w:rsidP="007E184B">
      <w:pPr>
        <w:pStyle w:val="ListParagraph"/>
        <w:numPr>
          <w:ilvl w:val="0"/>
          <w:numId w:val="3"/>
        </w:numPr>
        <w:spacing w:after="60" w:line="276" w:lineRule="auto"/>
        <w:jc w:val="both"/>
      </w:pPr>
      <w:r w:rsidRPr="00AE0F1B">
        <w:t>Companies House searches conducted. Mark Bentley, Dr Sarah McAdam and Dr Simon Evans searches returned multiple results due to common names; date of birth not available to filter; nil directorships confirmed by signed self-declaration as primary evidence per documented methodology. Bola Makinde search conducted under legal name (Mobolanle Makinde); additional search under operating name Bola Makinde to be completed.</w:t>
      </w:r>
    </w:p>
    <w:p w14:paraId="1A100017" w14:textId="77777777" w:rsidR="00925EB7" w:rsidRPr="00AE0F1B" w:rsidRDefault="00F32753" w:rsidP="007E184B">
      <w:pPr>
        <w:pStyle w:val="ListParagraph"/>
        <w:numPr>
          <w:ilvl w:val="0"/>
          <w:numId w:val="3"/>
        </w:numPr>
        <w:spacing w:after="60" w:line="276" w:lineRule="auto"/>
        <w:jc w:val="both"/>
      </w:pPr>
      <w:r w:rsidRPr="00AE0F1B">
        <w:t>DBS disclosures and two written references per governor remain outstanding and are in progress.</w:t>
      </w:r>
    </w:p>
    <w:p w14:paraId="1A100018" w14:textId="0578E633" w:rsidR="00925EB7" w:rsidRPr="00AE0F1B" w:rsidRDefault="00F32753" w:rsidP="007E184B">
      <w:pPr>
        <w:spacing w:after="80" w:line="276" w:lineRule="auto"/>
      </w:pPr>
      <w:r w:rsidRPr="00AE0F1B">
        <w:rPr>
          <w:b/>
          <w:bCs/>
        </w:rPr>
        <w:t xml:space="preserve">Evidence </w:t>
      </w:r>
      <w:r w:rsidR="005D72A6" w:rsidRPr="00AE0F1B">
        <w:rPr>
          <w:b/>
          <w:bCs/>
        </w:rPr>
        <w:t>positions</w:t>
      </w:r>
      <w:r w:rsidRPr="00AE0F1B">
        <w:rPr>
          <w:b/>
          <w:bCs/>
        </w:rPr>
        <w:t xml:space="preserve"> for SLT, Directors and Dean:</w:t>
      </w:r>
    </w:p>
    <w:p w14:paraId="1A100019" w14:textId="123802D0" w:rsidR="00925EB7" w:rsidRPr="00AE0F1B" w:rsidRDefault="00F32753" w:rsidP="007E184B">
      <w:pPr>
        <w:pStyle w:val="ListParagraph"/>
        <w:numPr>
          <w:ilvl w:val="0"/>
          <w:numId w:val="3"/>
        </w:numPr>
        <w:spacing w:after="60" w:line="276" w:lineRule="auto"/>
        <w:jc w:val="both"/>
      </w:pPr>
      <w:r w:rsidRPr="00AE0F1B">
        <w:t xml:space="preserve">OFSI sanctions searches completed for all SLT members and </w:t>
      </w:r>
      <w:proofErr w:type="gramStart"/>
      <w:r w:rsidRPr="00AE0F1B">
        <w:t>Directors</w:t>
      </w:r>
      <w:proofErr w:type="gramEnd"/>
      <w:r w:rsidRPr="00AE0F1B">
        <w:t xml:space="preserve"> nil results confirmed for all.</w:t>
      </w:r>
    </w:p>
    <w:p w14:paraId="1A10001A" w14:textId="39161C21" w:rsidR="00925EB7" w:rsidRPr="00AE0F1B" w:rsidRDefault="00F32753" w:rsidP="007E184B">
      <w:pPr>
        <w:pStyle w:val="ListParagraph"/>
        <w:numPr>
          <w:ilvl w:val="0"/>
          <w:numId w:val="3"/>
        </w:numPr>
        <w:spacing w:after="60" w:line="276" w:lineRule="auto"/>
        <w:jc w:val="both"/>
      </w:pPr>
      <w:r w:rsidRPr="00AE0F1B">
        <w:t xml:space="preserve">Self-declarations circulated to all SLT members; returns in progress. Companies House searches conducted for </w:t>
      </w:r>
      <w:r w:rsidR="007E184B">
        <w:t>Executive Leadership and Governors.</w:t>
      </w:r>
    </w:p>
    <w:p w14:paraId="339042ED" w14:textId="77777777" w:rsidR="007E184B" w:rsidRDefault="007E184B" w:rsidP="007E184B">
      <w:pPr>
        <w:spacing w:after="120" w:line="276" w:lineRule="auto"/>
        <w:jc w:val="both"/>
        <w:rPr>
          <w:b/>
          <w:bCs/>
        </w:rPr>
      </w:pPr>
    </w:p>
    <w:p w14:paraId="1A10001C" w14:textId="4F4F62DB" w:rsidR="00925EB7" w:rsidRPr="00AE0F1B" w:rsidRDefault="00F32753" w:rsidP="007E184B">
      <w:pPr>
        <w:spacing w:after="120" w:line="276" w:lineRule="auto"/>
        <w:jc w:val="both"/>
      </w:pPr>
      <w:r w:rsidRPr="00AE0F1B">
        <w:rPr>
          <w:b/>
          <w:bCs/>
        </w:rPr>
        <w:t xml:space="preserve">Assessment: </w:t>
      </w:r>
      <w:r w:rsidRPr="00AE0F1B">
        <w:t>The Board is satisfied that substantive progress has been made on the fit and proper persons framework and that the evidence base for governors is largely in place. The key outstanding are being actively progressed with a deadline aligned to OfS submission. The Fit and Proper Persons Policy (V1.0) and self-declaration form are presented to the Board for approval at the April 2026 meeting; an updated V2.0 incorporating three additional E9.5 questions and six policy gaps identified during the compliance review will be brought forward for Board approval.</w:t>
      </w:r>
    </w:p>
    <w:p w14:paraId="77E4A510" w14:textId="77777777" w:rsidR="00925EB7" w:rsidRPr="00AE0F1B" w:rsidRDefault="00F32753" w:rsidP="007E184B">
      <w:pPr>
        <w:pBdr>
          <w:bottom w:val="single" w:sz="3" w:space="4" w:color="1F3864"/>
        </w:pBdr>
        <w:spacing w:before="300" w:after="140" w:line="276" w:lineRule="auto"/>
      </w:pPr>
      <w:r w:rsidRPr="00AE0F1B">
        <w:rPr>
          <w:b/>
          <w:bCs/>
          <w:color w:val="1F3864"/>
        </w:rPr>
        <w:t>8. Protection of the Student Interest</w:t>
      </w:r>
    </w:p>
    <w:p w14:paraId="199CCB5A" w14:textId="77777777" w:rsidR="00925EB7" w:rsidRPr="00AE0F1B" w:rsidRDefault="00F32753" w:rsidP="007E184B">
      <w:pPr>
        <w:spacing w:after="120" w:line="276" w:lineRule="auto"/>
        <w:jc w:val="both"/>
      </w:pPr>
      <w:r w:rsidRPr="00AE0F1B">
        <w:t>The Board has established a Student Interest Subcommittee (inaugural meeting held 16 April 2026, chaired by Dr Sarah McAdam) and maintains student representation through the Student Experience Lead (Dr Ruchi Singla), who reports directly to the Board. Student voice mechanisms include the Student Voice Committee and the Student Interest Subcommittee. The inaugural meeting confirmed that student voice mechanisms are operating robustly, with survey response rates consistently above 70%, active in-class feedback loops, and positive contributions from student representatives. The committee identified key areas for ongoing monitoring: top-up cohort retention and Brentford campus engagement (both flagged as risks), development of formal wellbeing and EDI frameworks, and the launch of the Careers Desk pilot to address OfS B3 employability requirements.</w:t>
      </w:r>
    </w:p>
    <w:p w14:paraId="2F3205A7" w14:textId="77777777" w:rsidR="00925EB7" w:rsidRPr="00AE0F1B" w:rsidRDefault="00925EB7" w:rsidP="007E184B">
      <w:pPr>
        <w:spacing w:after="20" w:line="276" w:lineRule="auto"/>
      </w:pPr>
    </w:p>
    <w:p w14:paraId="2D0F95DC" w14:textId="77777777" w:rsidR="00925EB7" w:rsidRPr="00AE0F1B" w:rsidRDefault="00F32753" w:rsidP="007E184B">
      <w:pPr>
        <w:spacing w:after="120" w:line="276" w:lineRule="auto"/>
        <w:jc w:val="both"/>
      </w:pPr>
      <w:r w:rsidRPr="00AE0F1B">
        <w:rPr>
          <w:b/>
          <w:bCs/>
        </w:rPr>
        <w:t xml:space="preserve">Assessment: </w:t>
      </w:r>
      <w:r w:rsidRPr="00AE0F1B">
        <w:t>The Board notes that the Student Interest Subcommittee is now operational and providing effective assurance. Evidence of student engagement — including survey response rates above 70%, active feedback mechanisms, and student representative participation — was confirmed at the inaugural meeting. The Board expects complaint and appeal trends, student satisfaction data, and EDI outcomes to be routinely reported through the committee structure during 2026–27. The Board also expects the wellbeing framework, Wellbeing Lead appointment, and EDI admissions data capture to be completed as a priority.</w:t>
      </w:r>
    </w:p>
    <w:p w14:paraId="49F4E99F" w14:textId="77777777" w:rsidR="00925EB7" w:rsidRPr="00AE0F1B" w:rsidRDefault="00F32753" w:rsidP="007E184B">
      <w:pPr>
        <w:pBdr>
          <w:bottom w:val="single" w:sz="3" w:space="4" w:color="1F3864"/>
        </w:pBdr>
        <w:spacing w:before="300" w:after="140" w:line="276" w:lineRule="auto"/>
      </w:pPr>
      <w:r w:rsidRPr="00AE0F1B">
        <w:rPr>
          <w:b/>
          <w:bCs/>
          <w:color w:val="1F3864"/>
        </w:rPr>
        <w:t>9. Governors’ Conduct and Development</w:t>
      </w:r>
    </w:p>
    <w:p w14:paraId="53B3444A" w14:textId="77777777" w:rsidR="00925EB7" w:rsidRPr="00AE0F1B" w:rsidRDefault="00F32753" w:rsidP="007E184B">
      <w:pPr>
        <w:spacing w:after="120" w:line="276" w:lineRule="auto"/>
        <w:jc w:val="both"/>
      </w:pPr>
      <w:r w:rsidRPr="00AE0F1B">
        <w:t>The Governors’ Code of Conduct was formally adopted at the inaugural Board meeting in July 2025. Signed forms have been circulated to all governors for completion and return, with the status of returns to be reviewed at the April 2026 meeting.</w:t>
      </w:r>
    </w:p>
    <w:p w14:paraId="1F4FA852" w14:textId="2A998936" w:rsidR="00925EB7" w:rsidRPr="00AE0F1B" w:rsidRDefault="00F32753" w:rsidP="007E184B">
      <w:pPr>
        <w:spacing w:after="120" w:line="276" w:lineRule="auto"/>
        <w:jc w:val="both"/>
      </w:pPr>
      <w:r w:rsidRPr="00AE0F1B">
        <w:t xml:space="preserve">The Board will also conduct an annual skills mapping exercise, drawing on </w:t>
      </w:r>
      <w:r w:rsidR="00193B64" w:rsidRPr="00AE0F1B">
        <w:t>Governor</w:t>
      </w:r>
      <w:r w:rsidRPr="00AE0F1B">
        <w:t xml:space="preserve"> CVs held on file and a structured discussion at the first Board meeting of each academic year, rather than through a separate standalone form. The outcome will be mapped against a skills framework covering: higher education governance and regulation; financial management and audit; legal and compliance; HR and workforce; digital and IT; academic quality and student outcomes; risk management; strategic leadership; business development and commercial; student experience; and EDI. Results will be used by the Remuneration and Nominations Committee to set governor recruitment priorities and to inform the governor development programme. A summary of the skills mapping outcome will be included in each year's Board Effectiveness Statement to provide a closed-loop record of how gaps are identified and addressed.</w:t>
      </w:r>
    </w:p>
    <w:p w14:paraId="4DF918AC" w14:textId="77777777" w:rsidR="00925EB7" w:rsidRPr="00AE0F1B" w:rsidRDefault="00925EB7" w:rsidP="007E184B">
      <w:pPr>
        <w:spacing w:after="20" w:line="276" w:lineRule="auto"/>
        <w:jc w:val="both"/>
      </w:pPr>
    </w:p>
    <w:p w14:paraId="683451E1" w14:textId="052E219D" w:rsidR="00925EB7" w:rsidRPr="00AE0F1B" w:rsidRDefault="00F32753" w:rsidP="007E184B">
      <w:pPr>
        <w:spacing w:after="120" w:line="276" w:lineRule="auto"/>
        <w:jc w:val="both"/>
      </w:pPr>
      <w:r w:rsidRPr="00AE0F1B">
        <w:rPr>
          <w:b/>
          <w:bCs/>
        </w:rPr>
        <w:t xml:space="preserve">Assessment: </w:t>
      </w:r>
      <w:r w:rsidRPr="00AE0F1B">
        <w:t xml:space="preserve">The adoption of the Code of Conduct is a positive step. The first annual skills mapping exercise was conducted at the April 2026 Board meeting, drawing on </w:t>
      </w:r>
      <w:r w:rsidR="00815623" w:rsidRPr="00AE0F1B">
        <w:t>Governor</w:t>
      </w:r>
      <w:r w:rsidRPr="00AE0F1B">
        <w:t xml:space="preserve"> CVs held on file and a structured Board discussion. No additional signed form was required. The exercise identified two red gaps — audit expertise and digital/IT governance — and </w:t>
      </w:r>
      <w:r w:rsidR="00815623" w:rsidRPr="00AE0F1B">
        <w:t>several</w:t>
      </w:r>
      <w:r w:rsidRPr="00AE0F1B">
        <w:t xml:space="preserve"> amber areas including OfS regulatory knowledge across three of the four governors, safeguarding, and data protection. The Governance Officer produced a skills heat map which has been referred to the Remuneration and Nominations Committee to set governor recruitment and development priorities. This process will be repeated annually at the start of each academic year, with outcomes reported in each year’s effectiveness statement.</w:t>
      </w:r>
    </w:p>
    <w:p w14:paraId="17BC5FC8" w14:textId="64E4BFDE" w:rsidR="00FD77FD" w:rsidRDefault="00FD77FD" w:rsidP="007E184B">
      <w:pPr>
        <w:spacing w:line="276" w:lineRule="auto"/>
        <w:rPr>
          <w:b/>
          <w:bCs/>
          <w:color w:val="1F3864"/>
        </w:rPr>
      </w:pPr>
      <w:r>
        <w:rPr>
          <w:b/>
          <w:bCs/>
          <w:color w:val="1F3864"/>
        </w:rPr>
        <w:br w:type="page"/>
      </w:r>
    </w:p>
    <w:p w14:paraId="3A3604F2" w14:textId="55CC3FE7" w:rsidR="00925EB7" w:rsidRPr="00AE0F1B" w:rsidRDefault="00F32753" w:rsidP="007E184B">
      <w:pPr>
        <w:pBdr>
          <w:bottom w:val="single" w:sz="3" w:space="4" w:color="1F3864"/>
        </w:pBdr>
        <w:spacing w:before="300" w:after="140" w:line="276" w:lineRule="auto"/>
      </w:pPr>
      <w:r w:rsidRPr="00AE0F1B">
        <w:rPr>
          <w:b/>
          <w:bCs/>
          <w:color w:val="1F3864"/>
        </w:rPr>
        <w:t>10. Areas for Improvement and Forward Plan</w:t>
      </w:r>
    </w:p>
    <w:p w14:paraId="58F9DBC8" w14:textId="60918D67" w:rsidR="00925EB7" w:rsidRPr="00AE0F1B" w:rsidRDefault="00F32753" w:rsidP="007E184B">
      <w:pPr>
        <w:spacing w:after="120" w:line="276" w:lineRule="auto"/>
      </w:pPr>
      <w:r w:rsidRPr="00AE0F1B">
        <w:t>The Board has identified the following priorities for strengthening governance effectiveness in 2026–27:</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30"/>
        <w:gridCol w:w="3072"/>
        <w:gridCol w:w="1647"/>
        <w:gridCol w:w="2277"/>
      </w:tblGrid>
      <w:tr w:rsidR="00925EB7" w:rsidRPr="00AE0F1B" w14:paraId="34222603" w14:textId="77777777" w:rsidTr="00395F7A">
        <w:trPr>
          <w:tblHeader/>
        </w:trPr>
        <w:tc>
          <w:tcPr>
            <w:tcW w:w="203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tcPr>
          <w:p w14:paraId="047175BB" w14:textId="77777777" w:rsidR="00925EB7" w:rsidRPr="00AE0F1B" w:rsidRDefault="00F32753" w:rsidP="007E184B">
            <w:pPr>
              <w:spacing w:after="40" w:line="276" w:lineRule="auto"/>
            </w:pPr>
            <w:r w:rsidRPr="00AE0F1B">
              <w:rPr>
                <w:b/>
                <w:bCs/>
                <w:color w:val="FFFFFF"/>
              </w:rPr>
              <w:t>Priority</w:t>
            </w:r>
          </w:p>
        </w:tc>
        <w:tc>
          <w:tcPr>
            <w:tcW w:w="3072"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tcPr>
          <w:p w14:paraId="0FBE33E5" w14:textId="77777777" w:rsidR="00925EB7" w:rsidRPr="00AE0F1B" w:rsidRDefault="00F32753" w:rsidP="007E184B">
            <w:pPr>
              <w:spacing w:after="40" w:line="276" w:lineRule="auto"/>
            </w:pPr>
            <w:r w:rsidRPr="00AE0F1B">
              <w:rPr>
                <w:b/>
                <w:bCs/>
                <w:color w:val="FFFFFF"/>
              </w:rPr>
              <w:t>Action</w:t>
            </w:r>
          </w:p>
        </w:tc>
        <w:tc>
          <w:tcPr>
            <w:tcW w:w="1647"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tcPr>
          <w:p w14:paraId="0ED98B12" w14:textId="77777777" w:rsidR="00925EB7" w:rsidRPr="00AE0F1B" w:rsidRDefault="00F32753" w:rsidP="007E184B">
            <w:pPr>
              <w:spacing w:after="40" w:line="276" w:lineRule="auto"/>
            </w:pPr>
            <w:r w:rsidRPr="00AE0F1B">
              <w:rPr>
                <w:b/>
                <w:bCs/>
                <w:color w:val="FFFFFF"/>
              </w:rPr>
              <w:t>Target Date</w:t>
            </w:r>
          </w:p>
        </w:tc>
        <w:tc>
          <w:tcPr>
            <w:tcW w:w="2277"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tcPr>
          <w:p w14:paraId="4AB8F1D4" w14:textId="77777777" w:rsidR="00925EB7" w:rsidRPr="00AE0F1B" w:rsidRDefault="00F32753" w:rsidP="007E184B">
            <w:pPr>
              <w:spacing w:after="40" w:line="276" w:lineRule="auto"/>
            </w:pPr>
            <w:r w:rsidRPr="00AE0F1B">
              <w:rPr>
                <w:b/>
                <w:bCs/>
                <w:color w:val="FFFFFF"/>
              </w:rPr>
              <w:t>Responsible</w:t>
            </w:r>
          </w:p>
        </w:tc>
      </w:tr>
      <w:tr w:rsidR="00925EB7" w:rsidRPr="00AE0F1B" w14:paraId="13E50020" w14:textId="77777777" w:rsidTr="00395F7A">
        <w:tc>
          <w:tcPr>
            <w:tcW w:w="203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D190C52" w14:textId="77777777" w:rsidR="00925EB7" w:rsidRPr="00AE0F1B" w:rsidRDefault="00F32753" w:rsidP="007E184B">
            <w:pPr>
              <w:spacing w:after="40" w:line="276" w:lineRule="auto"/>
            </w:pPr>
            <w:r w:rsidRPr="00AE0F1B">
              <w:t>Board meeting frequency</w:t>
            </w:r>
          </w:p>
        </w:tc>
        <w:tc>
          <w:tcPr>
            <w:tcW w:w="3072"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4FA6759" w14:textId="77777777" w:rsidR="00925EB7" w:rsidRPr="00AE0F1B" w:rsidRDefault="00F32753" w:rsidP="007E184B">
            <w:pPr>
              <w:spacing w:after="40" w:line="276" w:lineRule="auto"/>
              <w:jc w:val="both"/>
            </w:pPr>
            <w:r w:rsidRPr="00AE0F1B">
              <w:t>Move to at least termly Board meetings (minimum three per year)</w:t>
            </w:r>
          </w:p>
        </w:tc>
        <w:tc>
          <w:tcPr>
            <w:tcW w:w="1647"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55BBF0F" w14:textId="77777777" w:rsidR="00925EB7" w:rsidRPr="00AE0F1B" w:rsidRDefault="00F32753" w:rsidP="007E184B">
            <w:pPr>
              <w:spacing w:after="40" w:line="276" w:lineRule="auto"/>
            </w:pPr>
            <w:r w:rsidRPr="00AE0F1B">
              <w:t>2026–27 academic year</w:t>
            </w:r>
          </w:p>
        </w:tc>
        <w:tc>
          <w:tcPr>
            <w:tcW w:w="2277"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BBD9AB5" w14:textId="77777777" w:rsidR="00925EB7" w:rsidRPr="00AE0F1B" w:rsidRDefault="00F32753" w:rsidP="007E184B">
            <w:pPr>
              <w:spacing w:after="40" w:line="276" w:lineRule="auto"/>
            </w:pPr>
            <w:r w:rsidRPr="00AE0F1B">
              <w:t>Governance Officer</w:t>
            </w:r>
          </w:p>
        </w:tc>
      </w:tr>
      <w:tr w:rsidR="00925EB7" w:rsidRPr="00AE0F1B" w14:paraId="1C114D17" w14:textId="77777777" w:rsidTr="00395F7A">
        <w:tc>
          <w:tcPr>
            <w:tcW w:w="203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53429474" w14:textId="77777777" w:rsidR="00925EB7" w:rsidRPr="00AE0F1B" w:rsidRDefault="00F32753" w:rsidP="007E184B">
            <w:pPr>
              <w:spacing w:after="40" w:line="276" w:lineRule="auto"/>
            </w:pPr>
            <w:r w:rsidRPr="00AE0F1B">
              <w:t>Board skills audit</w:t>
            </w:r>
          </w:p>
        </w:tc>
        <w:tc>
          <w:tcPr>
            <w:tcW w:w="3072"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3C461543" w14:textId="5404F7CB" w:rsidR="00925EB7" w:rsidRPr="00AE0F1B" w:rsidRDefault="00F32753" w:rsidP="007E184B">
            <w:pPr>
              <w:spacing w:after="40" w:line="276" w:lineRule="auto"/>
              <w:jc w:val="both"/>
            </w:pPr>
            <w:r w:rsidRPr="00AE0F1B">
              <w:t xml:space="preserve">Conduct first annual skills mapping exercise at April 2026 Board meeting using </w:t>
            </w:r>
            <w:r w:rsidR="00DE5908" w:rsidRPr="00AE0F1B">
              <w:t>Governor</w:t>
            </w:r>
            <w:r w:rsidRPr="00AE0F1B">
              <w:t xml:space="preserve"> CVs and structured Board discussion. Governance Officer to produce skills heat map. Rem &amp; Nom Committee to set recruitment and development priorities. Repeat annually at start of each academic year. Results to be summarised in each year’s effectiveness statement.</w:t>
            </w:r>
          </w:p>
        </w:tc>
        <w:tc>
          <w:tcPr>
            <w:tcW w:w="1647"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67AA6D20" w14:textId="77777777" w:rsidR="00925EB7" w:rsidRPr="00AE0F1B" w:rsidRDefault="00F32753" w:rsidP="007E184B">
            <w:pPr>
              <w:spacing w:after="40" w:line="276" w:lineRule="auto"/>
            </w:pPr>
            <w:r w:rsidRPr="00AE0F1B">
              <w:t>April–September 2026</w:t>
            </w:r>
          </w:p>
        </w:tc>
        <w:tc>
          <w:tcPr>
            <w:tcW w:w="2277"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102950E6" w14:textId="77777777" w:rsidR="00925EB7" w:rsidRPr="00AE0F1B" w:rsidRDefault="00F32753" w:rsidP="007E184B">
            <w:pPr>
              <w:spacing w:after="40" w:line="276" w:lineRule="auto"/>
            </w:pPr>
            <w:r w:rsidRPr="00AE0F1B">
              <w:t>Governance Officer / Rem &amp; Nom Committee</w:t>
            </w:r>
          </w:p>
        </w:tc>
      </w:tr>
      <w:tr w:rsidR="00925EB7" w:rsidRPr="00AE0F1B" w14:paraId="66D3E399" w14:textId="77777777" w:rsidTr="00395F7A">
        <w:tc>
          <w:tcPr>
            <w:tcW w:w="203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53293140" w14:textId="77777777" w:rsidR="00925EB7" w:rsidRPr="00AE0F1B" w:rsidRDefault="00F32753" w:rsidP="007E184B">
            <w:pPr>
              <w:spacing w:after="40" w:line="276" w:lineRule="auto"/>
            </w:pPr>
            <w:r w:rsidRPr="00AE0F1B">
              <w:t>Internal audit function</w:t>
            </w:r>
          </w:p>
        </w:tc>
        <w:tc>
          <w:tcPr>
            <w:tcW w:w="3072"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6E534787" w14:textId="77777777" w:rsidR="00925EB7" w:rsidRPr="00AE0F1B" w:rsidRDefault="00F32753" w:rsidP="007E184B">
            <w:pPr>
              <w:spacing w:after="40" w:line="276" w:lineRule="auto"/>
              <w:jc w:val="both"/>
            </w:pPr>
            <w:r w:rsidRPr="00AE0F1B">
              <w:t>Appoint a formal independent internal auditor appropriate to institutional size</w:t>
            </w:r>
          </w:p>
        </w:tc>
        <w:tc>
          <w:tcPr>
            <w:tcW w:w="1647"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0BEBF9BC" w14:textId="77777777" w:rsidR="00925EB7" w:rsidRPr="00AE0F1B" w:rsidRDefault="00F32753" w:rsidP="007E184B">
            <w:pPr>
              <w:spacing w:after="40" w:line="276" w:lineRule="auto"/>
            </w:pPr>
            <w:r w:rsidRPr="00AE0F1B">
              <w:t>2026</w:t>
            </w:r>
          </w:p>
        </w:tc>
        <w:tc>
          <w:tcPr>
            <w:tcW w:w="2277"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76D86627" w14:textId="77777777" w:rsidR="00925EB7" w:rsidRPr="00AE0F1B" w:rsidRDefault="00F32753" w:rsidP="007E184B">
            <w:pPr>
              <w:spacing w:after="40" w:line="276" w:lineRule="auto"/>
            </w:pPr>
            <w:r w:rsidRPr="00AE0F1B">
              <w:t>CFO / ARFC</w:t>
            </w:r>
          </w:p>
        </w:tc>
      </w:tr>
      <w:tr w:rsidR="00925EB7" w:rsidRPr="00AE0F1B" w14:paraId="76C20227" w14:textId="77777777" w:rsidTr="00395F7A">
        <w:tc>
          <w:tcPr>
            <w:tcW w:w="203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9CF411E" w14:textId="77777777" w:rsidR="00925EB7" w:rsidRPr="00AE0F1B" w:rsidRDefault="00F32753" w:rsidP="007E184B">
            <w:pPr>
              <w:spacing w:after="40" w:line="276" w:lineRule="auto"/>
            </w:pPr>
            <w:r w:rsidRPr="00AE0F1B">
              <w:t>Board self-assessment</w:t>
            </w:r>
          </w:p>
        </w:tc>
        <w:tc>
          <w:tcPr>
            <w:tcW w:w="3072"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F020240" w14:textId="77777777" w:rsidR="00925EB7" w:rsidRPr="00AE0F1B" w:rsidRDefault="00F32753" w:rsidP="007E184B">
            <w:pPr>
              <w:spacing w:after="40" w:line="276" w:lineRule="auto"/>
              <w:jc w:val="both"/>
            </w:pPr>
            <w:r w:rsidRPr="00AE0F1B">
              <w:t>Implement annual Board self-assessment process (questionnaire and facilitated discussion)</w:t>
            </w:r>
          </w:p>
        </w:tc>
        <w:tc>
          <w:tcPr>
            <w:tcW w:w="1647"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B1D2FBD" w14:textId="77777777" w:rsidR="00925EB7" w:rsidRPr="00AE0F1B" w:rsidRDefault="00F32753" w:rsidP="007E184B">
            <w:pPr>
              <w:spacing w:after="40" w:line="276" w:lineRule="auto"/>
            </w:pPr>
            <w:r w:rsidRPr="00AE0F1B">
              <w:t>End of 2026–27</w:t>
            </w:r>
          </w:p>
        </w:tc>
        <w:tc>
          <w:tcPr>
            <w:tcW w:w="2277"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9BD1B02" w14:textId="77777777" w:rsidR="00925EB7" w:rsidRPr="00AE0F1B" w:rsidRDefault="00F32753" w:rsidP="007E184B">
            <w:pPr>
              <w:spacing w:after="40" w:line="276" w:lineRule="auto"/>
            </w:pPr>
            <w:r w:rsidRPr="00AE0F1B">
              <w:t>Rem &amp; Nom Committee</w:t>
            </w:r>
          </w:p>
        </w:tc>
      </w:tr>
      <w:tr w:rsidR="00925EB7" w:rsidRPr="00AE0F1B" w14:paraId="028550EF" w14:textId="77777777" w:rsidTr="00395F7A">
        <w:tc>
          <w:tcPr>
            <w:tcW w:w="203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0BD977A0" w14:textId="77777777" w:rsidR="00925EB7" w:rsidRPr="00AE0F1B" w:rsidRDefault="00F32753" w:rsidP="007E184B">
            <w:pPr>
              <w:spacing w:after="40" w:line="276" w:lineRule="auto"/>
            </w:pPr>
            <w:r w:rsidRPr="00AE0F1B">
              <w:t>Committee reporting standards</w:t>
            </w:r>
          </w:p>
        </w:tc>
        <w:tc>
          <w:tcPr>
            <w:tcW w:w="3072"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30CEE681" w14:textId="77777777" w:rsidR="00925EB7" w:rsidRPr="00AE0F1B" w:rsidRDefault="00F32753" w:rsidP="007E184B">
            <w:pPr>
              <w:spacing w:after="40" w:line="276" w:lineRule="auto"/>
              <w:jc w:val="both"/>
            </w:pPr>
            <w:r w:rsidRPr="00AE0F1B">
              <w:t>Standardise reporting formats, paper templates, and circulation timelines across all committees</w:t>
            </w:r>
          </w:p>
        </w:tc>
        <w:tc>
          <w:tcPr>
            <w:tcW w:w="1647"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0C6DB13E" w14:textId="77777777" w:rsidR="00925EB7" w:rsidRPr="00AE0F1B" w:rsidRDefault="00F32753" w:rsidP="007E184B">
            <w:pPr>
              <w:spacing w:after="40" w:line="276" w:lineRule="auto"/>
            </w:pPr>
            <w:r w:rsidRPr="00AE0F1B">
              <w:t>September 2026</w:t>
            </w:r>
          </w:p>
        </w:tc>
        <w:tc>
          <w:tcPr>
            <w:tcW w:w="2277"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67354AD9" w14:textId="77777777" w:rsidR="00925EB7" w:rsidRPr="00AE0F1B" w:rsidRDefault="00F32753" w:rsidP="007E184B">
            <w:pPr>
              <w:spacing w:after="40" w:line="276" w:lineRule="auto"/>
            </w:pPr>
            <w:r w:rsidRPr="00AE0F1B">
              <w:t>Governance Officer</w:t>
            </w:r>
          </w:p>
        </w:tc>
      </w:tr>
      <w:tr w:rsidR="00925EB7" w:rsidRPr="00AE0F1B" w14:paraId="4C3ED75F" w14:textId="77777777" w:rsidTr="00395F7A">
        <w:tc>
          <w:tcPr>
            <w:tcW w:w="203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F7E9C18" w14:textId="77777777" w:rsidR="00925EB7" w:rsidRPr="00AE0F1B" w:rsidRDefault="00F32753" w:rsidP="007E184B">
            <w:pPr>
              <w:spacing w:after="40" w:line="276" w:lineRule="auto"/>
            </w:pPr>
            <w:r w:rsidRPr="00AE0F1B">
              <w:t>Student voice evidence</w:t>
            </w:r>
          </w:p>
        </w:tc>
        <w:tc>
          <w:tcPr>
            <w:tcW w:w="3072"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7371232" w14:textId="77777777" w:rsidR="00925EB7" w:rsidRPr="00AE0F1B" w:rsidRDefault="00F32753" w:rsidP="007E184B">
            <w:pPr>
              <w:spacing w:after="40" w:line="276" w:lineRule="auto"/>
              <w:jc w:val="both"/>
            </w:pPr>
            <w:r w:rsidRPr="00AE0F1B">
              <w:t>Ensure routine reporting of student feedback, satisfaction, and complaint data through the governance structure</w:t>
            </w:r>
          </w:p>
        </w:tc>
        <w:tc>
          <w:tcPr>
            <w:tcW w:w="1647"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6C1F1F7" w14:textId="77777777" w:rsidR="00925EB7" w:rsidRPr="00AE0F1B" w:rsidRDefault="00F32753" w:rsidP="007E184B">
            <w:pPr>
              <w:spacing w:after="40" w:line="276" w:lineRule="auto"/>
            </w:pPr>
            <w:r w:rsidRPr="00AE0F1B">
              <w:t>2026–27</w:t>
            </w:r>
          </w:p>
        </w:tc>
        <w:tc>
          <w:tcPr>
            <w:tcW w:w="2277"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96C567C" w14:textId="77777777" w:rsidR="00925EB7" w:rsidRPr="00AE0F1B" w:rsidRDefault="00F32753" w:rsidP="007E184B">
            <w:pPr>
              <w:spacing w:after="40" w:line="276" w:lineRule="auto"/>
            </w:pPr>
            <w:r w:rsidRPr="00AE0F1B">
              <w:t>Student Interest Panel / Student Experience Lead</w:t>
            </w:r>
          </w:p>
        </w:tc>
      </w:tr>
      <w:tr w:rsidR="00925EB7" w:rsidRPr="00AE0F1B" w14:paraId="076295DA" w14:textId="77777777" w:rsidTr="005E3DC4">
        <w:tc>
          <w:tcPr>
            <w:tcW w:w="203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21D928F6" w14:textId="77777777" w:rsidR="00925EB7" w:rsidRPr="00AE0F1B" w:rsidRDefault="00F32753" w:rsidP="007E184B">
            <w:pPr>
              <w:spacing w:after="40" w:line="276" w:lineRule="auto"/>
            </w:pPr>
            <w:r w:rsidRPr="00AE0F1B">
              <w:t>Risk register at Board level</w:t>
            </w:r>
          </w:p>
        </w:tc>
        <w:tc>
          <w:tcPr>
            <w:tcW w:w="3072"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230529DB" w14:textId="77777777" w:rsidR="00925EB7" w:rsidRPr="00AE0F1B" w:rsidRDefault="00F32753" w:rsidP="007E184B">
            <w:pPr>
              <w:spacing w:after="40" w:line="276" w:lineRule="auto"/>
              <w:jc w:val="both"/>
            </w:pPr>
            <w:r w:rsidRPr="00AE0F1B">
              <w:t>Present the institutional risk register as a standing Board item, not only at committee level</w:t>
            </w:r>
          </w:p>
        </w:tc>
        <w:tc>
          <w:tcPr>
            <w:tcW w:w="1647" w:type="dxa"/>
            <w:tcBorders>
              <w:top w:val="single" w:sz="1" w:space="0" w:color="AAAAAA"/>
              <w:left w:val="single" w:sz="1" w:space="0" w:color="AAAAAA"/>
              <w:bottom w:val="single" w:sz="4" w:space="0" w:color="auto"/>
              <w:right w:val="single" w:sz="1" w:space="0" w:color="AAAAAA"/>
            </w:tcBorders>
            <w:shd w:val="clear" w:color="auto" w:fill="F2F2F2"/>
            <w:tcMar>
              <w:top w:w="60" w:type="dxa"/>
              <w:left w:w="100" w:type="dxa"/>
              <w:bottom w:w="60" w:type="dxa"/>
              <w:right w:w="100" w:type="dxa"/>
            </w:tcMar>
          </w:tcPr>
          <w:p w14:paraId="18236AC9" w14:textId="77777777" w:rsidR="00925EB7" w:rsidRPr="00AE0F1B" w:rsidRDefault="00F32753" w:rsidP="007E184B">
            <w:pPr>
              <w:spacing w:after="40" w:line="276" w:lineRule="auto"/>
            </w:pPr>
            <w:r w:rsidRPr="00AE0F1B">
              <w:t>From April 2026</w:t>
            </w:r>
          </w:p>
        </w:tc>
        <w:tc>
          <w:tcPr>
            <w:tcW w:w="2277" w:type="dxa"/>
            <w:tcBorders>
              <w:top w:val="single" w:sz="1" w:space="0" w:color="AAAAAA"/>
              <w:left w:val="single" w:sz="1" w:space="0" w:color="AAAAAA"/>
              <w:bottom w:val="single" w:sz="4" w:space="0" w:color="auto"/>
              <w:right w:val="single" w:sz="1" w:space="0" w:color="AAAAAA"/>
            </w:tcBorders>
            <w:shd w:val="clear" w:color="auto" w:fill="F2F2F2"/>
            <w:tcMar>
              <w:top w:w="60" w:type="dxa"/>
              <w:left w:w="100" w:type="dxa"/>
              <w:bottom w:w="60" w:type="dxa"/>
              <w:right w:w="100" w:type="dxa"/>
            </w:tcMar>
          </w:tcPr>
          <w:p w14:paraId="21C46BA6" w14:textId="77777777" w:rsidR="00925EB7" w:rsidRPr="00AE0F1B" w:rsidRDefault="00F32753" w:rsidP="007E184B">
            <w:pPr>
              <w:spacing w:after="40" w:line="276" w:lineRule="auto"/>
            </w:pPr>
            <w:r w:rsidRPr="00AE0F1B">
              <w:t>Governance Officer / Risk &amp; IT Panel</w:t>
            </w:r>
          </w:p>
        </w:tc>
      </w:tr>
      <w:tr w:rsidR="00925EB7" w:rsidRPr="00AE0F1B" w14:paraId="130DE7D9" w14:textId="77777777" w:rsidTr="005E3DC4">
        <w:tc>
          <w:tcPr>
            <w:tcW w:w="2030" w:type="dxa"/>
          </w:tcPr>
          <w:p w14:paraId="62B31789" w14:textId="77777777" w:rsidR="00734540" w:rsidRPr="00AE0F1B" w:rsidRDefault="00F32753" w:rsidP="007E184B">
            <w:pPr>
              <w:spacing w:after="40" w:line="276" w:lineRule="auto"/>
            </w:pPr>
            <w:r w:rsidRPr="00AE0F1B">
              <w:t>Careers Desk and student employability</w:t>
            </w:r>
          </w:p>
        </w:tc>
        <w:tc>
          <w:tcPr>
            <w:tcW w:w="3072" w:type="dxa"/>
          </w:tcPr>
          <w:p w14:paraId="0B9AC767" w14:textId="180FA1D0" w:rsidR="00734540" w:rsidRPr="00AE0F1B" w:rsidRDefault="00F32753" w:rsidP="007E184B">
            <w:pPr>
              <w:spacing w:after="40" w:line="276" w:lineRule="auto"/>
              <w:jc w:val="both"/>
            </w:pPr>
            <w:r w:rsidRPr="00AE0F1B">
              <w:t xml:space="preserve">Build a sustainable Careers Desk and employability programme from the April 2026 pilot. Establish a formal OfS B3 Careers Outcomes reporting framework. </w:t>
            </w:r>
          </w:p>
        </w:tc>
        <w:tc>
          <w:tcPr>
            <w:tcW w:w="1647" w:type="dxa"/>
            <w:tcBorders>
              <w:bottom w:val="single" w:sz="4" w:space="0" w:color="auto"/>
            </w:tcBorders>
          </w:tcPr>
          <w:p w14:paraId="4BE06BB8" w14:textId="66F675BC" w:rsidR="00734540" w:rsidRPr="00AE0F1B" w:rsidRDefault="00F32753" w:rsidP="007E184B">
            <w:pPr>
              <w:spacing w:after="40" w:line="276" w:lineRule="auto"/>
            </w:pPr>
            <w:r w:rsidRPr="00AE0F1B">
              <w:t xml:space="preserve"> </w:t>
            </w:r>
            <w:r w:rsidR="005E3DC4">
              <w:t xml:space="preserve">April </w:t>
            </w:r>
            <w:r w:rsidRPr="00AE0F1B">
              <w:t>2026</w:t>
            </w:r>
          </w:p>
        </w:tc>
        <w:tc>
          <w:tcPr>
            <w:tcW w:w="2277" w:type="dxa"/>
            <w:tcBorders>
              <w:bottom w:val="single" w:sz="4" w:space="0" w:color="auto"/>
            </w:tcBorders>
          </w:tcPr>
          <w:p w14:paraId="7B915F9C" w14:textId="77777777" w:rsidR="00734540" w:rsidRPr="00AE0F1B" w:rsidRDefault="00F32753" w:rsidP="007E184B">
            <w:pPr>
              <w:spacing w:after="40" w:line="276" w:lineRule="auto"/>
            </w:pPr>
            <w:r w:rsidRPr="00AE0F1B">
              <w:t>Student Experience Lead / Outreach and Partnerships</w:t>
            </w:r>
          </w:p>
        </w:tc>
      </w:tr>
      <w:tr w:rsidR="00925EB7" w:rsidRPr="00AE0F1B" w14:paraId="73FC456B" w14:textId="77777777" w:rsidTr="005E3DC4">
        <w:tc>
          <w:tcPr>
            <w:tcW w:w="2030" w:type="dxa"/>
          </w:tcPr>
          <w:p w14:paraId="17843332" w14:textId="77777777" w:rsidR="00734540" w:rsidRPr="00AE0F1B" w:rsidRDefault="00F32753" w:rsidP="007E184B">
            <w:pPr>
              <w:spacing w:after="40" w:line="276" w:lineRule="auto"/>
            </w:pPr>
            <w:r w:rsidRPr="00AE0F1B">
              <w:t>Student Wellbeing Lead and wellbeing framework</w:t>
            </w:r>
          </w:p>
        </w:tc>
        <w:tc>
          <w:tcPr>
            <w:tcW w:w="3072" w:type="dxa"/>
          </w:tcPr>
          <w:p w14:paraId="45ACC3F4" w14:textId="77777777" w:rsidR="00734540" w:rsidRPr="00AE0F1B" w:rsidRDefault="00F32753" w:rsidP="007E184B">
            <w:pPr>
              <w:spacing w:after="40" w:line="276" w:lineRule="auto"/>
              <w:jc w:val="both"/>
            </w:pPr>
            <w:r w:rsidRPr="00AE0F1B">
              <w:t>Appoint a Student Wellbeing Lead. Finalise and formally adopt disability support, complaints and wellbeing policies currently awaiting Dean approval. Ensure Personal Evacuation Plans are in place across all campuses.</w:t>
            </w:r>
          </w:p>
        </w:tc>
        <w:tc>
          <w:tcPr>
            <w:tcW w:w="1647" w:type="dxa"/>
            <w:tcBorders>
              <w:top w:val="single" w:sz="4" w:space="0" w:color="auto"/>
            </w:tcBorders>
          </w:tcPr>
          <w:p w14:paraId="0FE649BA" w14:textId="77777777" w:rsidR="00734540" w:rsidRPr="00AE0F1B" w:rsidRDefault="00F32753" w:rsidP="007E184B">
            <w:pPr>
              <w:spacing w:after="40" w:line="276" w:lineRule="auto"/>
              <w:jc w:val="both"/>
            </w:pPr>
            <w:r w:rsidRPr="00AE0F1B">
              <w:t>June 2026</w:t>
            </w:r>
          </w:p>
        </w:tc>
        <w:tc>
          <w:tcPr>
            <w:tcW w:w="2277" w:type="dxa"/>
            <w:tcBorders>
              <w:top w:val="single" w:sz="4" w:space="0" w:color="auto"/>
            </w:tcBorders>
          </w:tcPr>
          <w:p w14:paraId="10A70F22" w14:textId="77777777" w:rsidR="00734540" w:rsidRPr="00AE0F1B" w:rsidRDefault="00F32753" w:rsidP="007E184B">
            <w:pPr>
              <w:spacing w:after="40" w:line="276" w:lineRule="auto"/>
            </w:pPr>
            <w:r w:rsidRPr="00AE0F1B">
              <w:t>Student Support / Dean</w:t>
            </w:r>
          </w:p>
        </w:tc>
      </w:tr>
    </w:tbl>
    <w:p w14:paraId="6C1B77CD" w14:textId="77777777" w:rsidR="00925EB7" w:rsidRPr="00AE0F1B" w:rsidRDefault="00F32753" w:rsidP="007E184B">
      <w:pPr>
        <w:pBdr>
          <w:bottom w:val="single" w:sz="3" w:space="4" w:color="1F3864"/>
        </w:pBdr>
        <w:spacing w:before="300" w:after="140" w:line="276" w:lineRule="auto"/>
      </w:pPr>
      <w:r w:rsidRPr="00AE0F1B">
        <w:rPr>
          <w:b/>
          <w:bCs/>
          <w:color w:val="1F3864"/>
        </w:rPr>
        <w:t>11. Conclusion</w:t>
      </w:r>
    </w:p>
    <w:p w14:paraId="74CFE8BC" w14:textId="77777777" w:rsidR="00925EB7" w:rsidRPr="00AE0F1B" w:rsidRDefault="00F32753" w:rsidP="007E184B">
      <w:pPr>
        <w:spacing w:after="120" w:line="276" w:lineRule="auto"/>
        <w:jc w:val="both"/>
      </w:pPr>
      <w:r w:rsidRPr="00AE0F1B">
        <w:t>The Board of Governors is satisfied that appropriate governance arrangements are in place and that the committee structure is functioning. The Board has demonstrated active oversight of financial sustainability, risk management, workforce planning, and OfS regulatory compliance through its committee and panel structure during 2025–26.</w:t>
      </w:r>
    </w:p>
    <w:p w14:paraId="67205879" w14:textId="77777777" w:rsidR="00925EB7" w:rsidRPr="00AE0F1B" w:rsidRDefault="00F32753" w:rsidP="007E184B">
      <w:pPr>
        <w:spacing w:after="120" w:line="276" w:lineRule="auto"/>
        <w:jc w:val="both"/>
      </w:pPr>
      <w:r w:rsidRPr="00AE0F1B">
        <w:t>The Board also recognises that its governance framework is still in its early stages of maturity. The areas identified for improvement in section 10 represent realistic and necessary steps toward establishing a governance culture that meets sector expectations and supports the institution’s strategic ambitions, including OfS registration.</w:t>
      </w:r>
    </w:p>
    <w:p w14:paraId="14F6B224" w14:textId="2A4A7442" w:rsidR="00925EB7" w:rsidRPr="00AE0F1B" w:rsidRDefault="00F32753" w:rsidP="007E184B">
      <w:pPr>
        <w:spacing w:after="120" w:line="276" w:lineRule="auto"/>
        <w:jc w:val="both"/>
      </w:pPr>
      <w:r w:rsidRPr="00AE0F1B">
        <w:t>The Board is committed to strengthening its effectiveness and will review progress against these priorities at its first meeting of the 2026–27 academic year.</w:t>
      </w:r>
    </w:p>
    <w:p w14:paraId="571CC028" w14:textId="77777777" w:rsidR="00925EB7" w:rsidRPr="00AE0F1B" w:rsidRDefault="00925EB7" w:rsidP="007E184B">
      <w:pPr>
        <w:pBdr>
          <w:top w:val="single" w:sz="2" w:space="8" w:color="1F3864"/>
        </w:pBdr>
        <w:spacing w:before="400" w:after="60" w:line="276" w:lineRule="auto"/>
      </w:pPr>
    </w:p>
    <w:p w14:paraId="05049766" w14:textId="77777777" w:rsidR="00925EB7" w:rsidRPr="00AE0F1B" w:rsidRDefault="00F32753" w:rsidP="007E184B">
      <w:pPr>
        <w:spacing w:after="120" w:line="276" w:lineRule="auto"/>
      </w:pPr>
      <w:r w:rsidRPr="00AE0F1B">
        <w:rPr>
          <w:b/>
          <w:bCs/>
        </w:rPr>
        <w:t>Approved by the Board of Governors</w:t>
      </w:r>
    </w:p>
    <w:p w14:paraId="1C30E7DE" w14:textId="77777777" w:rsidR="00925EB7" w:rsidRPr="00AE0F1B" w:rsidRDefault="00F32753" w:rsidP="007E184B">
      <w:pPr>
        <w:spacing w:after="120" w:line="276" w:lineRule="auto"/>
      </w:pPr>
      <w:r w:rsidRPr="00AE0F1B">
        <w:t>London Academy for Applied Technology (LAAT)</w:t>
      </w:r>
    </w:p>
    <w:p w14:paraId="1B3BF1E3" w14:textId="77777777" w:rsidR="00925EB7" w:rsidRPr="00AE0F1B" w:rsidRDefault="00925EB7" w:rsidP="007E184B">
      <w:pPr>
        <w:spacing w:after="20" w:line="276" w:lineRule="auto"/>
      </w:pPr>
    </w:p>
    <w:p w14:paraId="65BB5AD1" w14:textId="77777777" w:rsidR="00925EB7" w:rsidRPr="00AE0F1B" w:rsidRDefault="00F32753" w:rsidP="007E184B">
      <w:pPr>
        <w:spacing w:after="120" w:line="276" w:lineRule="auto"/>
      </w:pPr>
      <w:r w:rsidRPr="00AE0F1B">
        <w:rPr>
          <w:b/>
          <w:bCs/>
        </w:rPr>
        <w:t xml:space="preserve">Chair: </w:t>
      </w:r>
      <w:r w:rsidRPr="00AE0F1B">
        <w:t>Dr Sarah McAdam</w:t>
      </w:r>
    </w:p>
    <w:p w14:paraId="5F97FD75" w14:textId="45BD8F89" w:rsidR="00925EB7" w:rsidRPr="00AE0F1B" w:rsidRDefault="00F32753" w:rsidP="007E184B">
      <w:pPr>
        <w:spacing w:after="120" w:line="276" w:lineRule="auto"/>
      </w:pPr>
      <w:r w:rsidRPr="00AE0F1B">
        <w:rPr>
          <w:b/>
          <w:bCs/>
        </w:rPr>
        <w:t xml:space="preserve">Date: </w:t>
      </w:r>
    </w:p>
    <w:sectPr w:rsidR="00925EB7" w:rsidRPr="00AE0F1B">
      <w:headerReference w:type="default"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92D2B" w14:textId="77777777" w:rsidR="004C5A0C" w:rsidRDefault="004C5A0C">
      <w:r>
        <w:separator/>
      </w:r>
    </w:p>
  </w:endnote>
  <w:endnote w:type="continuationSeparator" w:id="0">
    <w:p w14:paraId="6A178FE2" w14:textId="77777777" w:rsidR="004C5A0C" w:rsidRDefault="004C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A15B" w14:textId="77777777" w:rsidR="00925EB7" w:rsidRDefault="00F32753">
    <w:pPr>
      <w:tabs>
        <w:tab w:val="right" w:pos="9026"/>
      </w:tabs>
    </w:pPr>
    <w:r>
      <w:rPr>
        <w:color w:val="999999"/>
        <w:sz w:val="16"/>
        <w:szCs w:val="16"/>
      </w:rPr>
      <w:t>LAAT Board Effectiveness Statement 2025–26</w:t>
    </w:r>
    <w:r>
      <w:tab/>
    </w: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C972C2">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9F9DB" w14:textId="77777777" w:rsidR="004C5A0C" w:rsidRDefault="004C5A0C">
      <w:r>
        <w:separator/>
      </w:r>
    </w:p>
  </w:footnote>
  <w:footnote w:type="continuationSeparator" w:id="0">
    <w:p w14:paraId="7025E533" w14:textId="77777777" w:rsidR="004C5A0C" w:rsidRDefault="004C5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9A1B" w14:textId="77777777" w:rsidR="00925EB7" w:rsidRDefault="00F32753">
    <w:pPr>
      <w:jc w:val="right"/>
    </w:pPr>
    <w:r>
      <w:rPr>
        <w:i/>
        <w:iCs/>
        <w:color w:val="999999"/>
        <w:sz w:val="16"/>
        <w:szCs w:val="16"/>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2655"/>
    <w:multiLevelType w:val="hybridMultilevel"/>
    <w:tmpl w:val="7F08BD6A"/>
    <w:lvl w:ilvl="0" w:tplc="0CF42A4E">
      <w:start w:val="1"/>
      <w:numFmt w:val="bullet"/>
      <w:lvlText w:val="●"/>
      <w:lvlJc w:val="left"/>
      <w:pPr>
        <w:ind w:left="720" w:hanging="360"/>
      </w:pPr>
    </w:lvl>
    <w:lvl w:ilvl="1" w:tplc="4A7C09DA">
      <w:start w:val="1"/>
      <w:numFmt w:val="bullet"/>
      <w:lvlText w:val="○"/>
      <w:lvlJc w:val="left"/>
      <w:pPr>
        <w:ind w:left="1440" w:hanging="360"/>
      </w:pPr>
    </w:lvl>
    <w:lvl w:ilvl="2" w:tplc="6A8E62CA">
      <w:start w:val="1"/>
      <w:numFmt w:val="bullet"/>
      <w:lvlText w:val="■"/>
      <w:lvlJc w:val="left"/>
      <w:pPr>
        <w:ind w:left="2160" w:hanging="360"/>
      </w:pPr>
    </w:lvl>
    <w:lvl w:ilvl="3" w:tplc="7E002CE6">
      <w:start w:val="1"/>
      <w:numFmt w:val="bullet"/>
      <w:lvlText w:val="●"/>
      <w:lvlJc w:val="left"/>
      <w:pPr>
        <w:ind w:left="2880" w:hanging="360"/>
      </w:pPr>
    </w:lvl>
    <w:lvl w:ilvl="4" w:tplc="EEAC01EE">
      <w:start w:val="1"/>
      <w:numFmt w:val="bullet"/>
      <w:lvlText w:val="○"/>
      <w:lvlJc w:val="left"/>
      <w:pPr>
        <w:ind w:left="3600" w:hanging="360"/>
      </w:pPr>
    </w:lvl>
    <w:lvl w:ilvl="5" w:tplc="5FC09E18">
      <w:start w:val="1"/>
      <w:numFmt w:val="bullet"/>
      <w:lvlText w:val="■"/>
      <w:lvlJc w:val="left"/>
      <w:pPr>
        <w:ind w:left="4320" w:hanging="360"/>
      </w:pPr>
    </w:lvl>
    <w:lvl w:ilvl="6" w:tplc="7E0AE5A0">
      <w:start w:val="1"/>
      <w:numFmt w:val="bullet"/>
      <w:lvlText w:val="●"/>
      <w:lvlJc w:val="left"/>
      <w:pPr>
        <w:ind w:left="5040" w:hanging="360"/>
      </w:pPr>
    </w:lvl>
    <w:lvl w:ilvl="7" w:tplc="C24A2044">
      <w:start w:val="1"/>
      <w:numFmt w:val="bullet"/>
      <w:lvlText w:val="●"/>
      <w:lvlJc w:val="left"/>
      <w:pPr>
        <w:ind w:left="5760" w:hanging="360"/>
      </w:pPr>
    </w:lvl>
    <w:lvl w:ilvl="8" w:tplc="47284BA2">
      <w:start w:val="1"/>
      <w:numFmt w:val="bullet"/>
      <w:lvlText w:val="●"/>
      <w:lvlJc w:val="left"/>
      <w:pPr>
        <w:ind w:left="6480" w:hanging="360"/>
      </w:pPr>
    </w:lvl>
  </w:abstractNum>
  <w:abstractNum w:abstractNumId="1" w15:restartNumberingAfterBreak="0">
    <w:nsid w:val="30E634D7"/>
    <w:multiLevelType w:val="hybridMultilevel"/>
    <w:tmpl w:val="A3C2C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72B4B"/>
    <w:multiLevelType w:val="hybridMultilevel"/>
    <w:tmpl w:val="242C355C"/>
    <w:lvl w:ilvl="0" w:tplc="8C5E6384">
      <w:start w:val="1"/>
      <w:numFmt w:val="bullet"/>
      <w:lvlText w:val="•"/>
      <w:lvlJc w:val="left"/>
      <w:pPr>
        <w:ind w:left="720" w:hanging="360"/>
      </w:pPr>
    </w:lvl>
    <w:lvl w:ilvl="1" w:tplc="5080CD38">
      <w:numFmt w:val="decimal"/>
      <w:lvlText w:val=""/>
      <w:lvlJc w:val="left"/>
    </w:lvl>
    <w:lvl w:ilvl="2" w:tplc="84261E16">
      <w:numFmt w:val="decimal"/>
      <w:lvlText w:val=""/>
      <w:lvlJc w:val="left"/>
    </w:lvl>
    <w:lvl w:ilvl="3" w:tplc="7E642E82">
      <w:numFmt w:val="decimal"/>
      <w:lvlText w:val=""/>
      <w:lvlJc w:val="left"/>
    </w:lvl>
    <w:lvl w:ilvl="4" w:tplc="900A3456">
      <w:numFmt w:val="decimal"/>
      <w:lvlText w:val=""/>
      <w:lvlJc w:val="left"/>
    </w:lvl>
    <w:lvl w:ilvl="5" w:tplc="12AA65AC">
      <w:numFmt w:val="decimal"/>
      <w:lvlText w:val=""/>
      <w:lvlJc w:val="left"/>
    </w:lvl>
    <w:lvl w:ilvl="6" w:tplc="FB242908">
      <w:numFmt w:val="decimal"/>
      <w:lvlText w:val=""/>
      <w:lvlJc w:val="left"/>
    </w:lvl>
    <w:lvl w:ilvl="7" w:tplc="92F09770">
      <w:numFmt w:val="decimal"/>
      <w:lvlText w:val=""/>
      <w:lvlJc w:val="left"/>
    </w:lvl>
    <w:lvl w:ilvl="8" w:tplc="25FCA04C">
      <w:numFmt w:val="decimal"/>
      <w:lvlText w:val=""/>
      <w:lvlJc w:val="left"/>
    </w:lvl>
  </w:abstractNum>
  <w:abstractNum w:abstractNumId="3" w15:restartNumberingAfterBreak="0">
    <w:nsid w:val="4E6304B0"/>
    <w:multiLevelType w:val="hybridMultilevel"/>
    <w:tmpl w:val="F014AD98"/>
    <w:lvl w:ilvl="0" w:tplc="34D2EB6C">
      <w:start w:val="1"/>
      <w:numFmt w:val="decimal"/>
      <w:lvlText w:val="%1."/>
      <w:lvlJc w:val="left"/>
      <w:pPr>
        <w:ind w:left="720" w:hanging="360"/>
      </w:pPr>
    </w:lvl>
    <w:lvl w:ilvl="1" w:tplc="0ECE3424">
      <w:numFmt w:val="decimal"/>
      <w:lvlText w:val=""/>
      <w:lvlJc w:val="left"/>
    </w:lvl>
    <w:lvl w:ilvl="2" w:tplc="C97E672E">
      <w:numFmt w:val="decimal"/>
      <w:lvlText w:val=""/>
      <w:lvlJc w:val="left"/>
    </w:lvl>
    <w:lvl w:ilvl="3" w:tplc="DDF0F7DA">
      <w:numFmt w:val="decimal"/>
      <w:lvlText w:val=""/>
      <w:lvlJc w:val="left"/>
    </w:lvl>
    <w:lvl w:ilvl="4" w:tplc="F0604110">
      <w:numFmt w:val="decimal"/>
      <w:lvlText w:val=""/>
      <w:lvlJc w:val="left"/>
    </w:lvl>
    <w:lvl w:ilvl="5" w:tplc="85A2368A">
      <w:numFmt w:val="decimal"/>
      <w:lvlText w:val=""/>
      <w:lvlJc w:val="left"/>
    </w:lvl>
    <w:lvl w:ilvl="6" w:tplc="945884AE">
      <w:numFmt w:val="decimal"/>
      <w:lvlText w:val=""/>
      <w:lvlJc w:val="left"/>
    </w:lvl>
    <w:lvl w:ilvl="7" w:tplc="7458CF96">
      <w:numFmt w:val="decimal"/>
      <w:lvlText w:val=""/>
      <w:lvlJc w:val="left"/>
    </w:lvl>
    <w:lvl w:ilvl="8" w:tplc="27B81E10">
      <w:numFmt w:val="decimal"/>
      <w:lvlText w:val=""/>
      <w:lvlJc w:val="left"/>
    </w:lvl>
  </w:abstractNum>
  <w:num w:numId="1" w16cid:durableId="1200358526">
    <w:abstractNumId w:val="2"/>
    <w:lvlOverride w:ilvl="0">
      <w:startOverride w:val="1"/>
    </w:lvlOverride>
  </w:num>
  <w:num w:numId="2" w16cid:durableId="1522742239">
    <w:abstractNumId w:val="1"/>
  </w:num>
  <w:num w:numId="3" w16cid:durableId="20157607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EB7"/>
    <w:rsid w:val="000058B9"/>
    <w:rsid w:val="001138C7"/>
    <w:rsid w:val="001571E7"/>
    <w:rsid w:val="00193B64"/>
    <w:rsid w:val="00350D4F"/>
    <w:rsid w:val="00395F7A"/>
    <w:rsid w:val="00421047"/>
    <w:rsid w:val="004A78D2"/>
    <w:rsid w:val="004C5A0C"/>
    <w:rsid w:val="005D72A6"/>
    <w:rsid w:val="005E3DC4"/>
    <w:rsid w:val="006454E2"/>
    <w:rsid w:val="006E693C"/>
    <w:rsid w:val="00734540"/>
    <w:rsid w:val="007E184B"/>
    <w:rsid w:val="007F06A6"/>
    <w:rsid w:val="00815623"/>
    <w:rsid w:val="00846627"/>
    <w:rsid w:val="008C260B"/>
    <w:rsid w:val="008E2978"/>
    <w:rsid w:val="008F580D"/>
    <w:rsid w:val="00925EB7"/>
    <w:rsid w:val="00A74CAC"/>
    <w:rsid w:val="00AE0F1B"/>
    <w:rsid w:val="00B1183F"/>
    <w:rsid w:val="00C972C2"/>
    <w:rsid w:val="00D01D24"/>
    <w:rsid w:val="00DE5908"/>
    <w:rsid w:val="00E6507A"/>
    <w:rsid w:val="00E66F4C"/>
    <w:rsid w:val="00ED3D2A"/>
    <w:rsid w:val="00F008F4"/>
    <w:rsid w:val="00F32753"/>
    <w:rsid w:val="00F330B4"/>
    <w:rsid w:val="00F35CF8"/>
    <w:rsid w:val="00FD77FD"/>
    <w:rsid w:val="00FE2B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F8C8"/>
  <w15:docId w15:val="{90217AB3-BBF2-483F-AAA2-EF105494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semiHidden/>
    <w:unhideWhenUsed/>
    <w:rsid w:val="006454E2"/>
    <w:pPr>
      <w:tabs>
        <w:tab w:val="center" w:pos="4680"/>
        <w:tab w:val="right" w:pos="9360"/>
      </w:tabs>
    </w:pPr>
  </w:style>
  <w:style w:type="character" w:customStyle="1" w:styleId="HeaderChar">
    <w:name w:val="Header Char"/>
    <w:basedOn w:val="DefaultParagraphFont"/>
    <w:link w:val="Header"/>
    <w:uiPriority w:val="99"/>
    <w:semiHidden/>
    <w:rsid w:val="006454E2"/>
    <w:rPr>
      <w:rFonts w:eastAsia="Times New Roman"/>
    </w:rPr>
  </w:style>
  <w:style w:type="paragraph" w:styleId="Footer">
    <w:name w:val="footer"/>
    <w:basedOn w:val="Normal"/>
    <w:link w:val="FooterChar"/>
    <w:uiPriority w:val="99"/>
    <w:semiHidden/>
    <w:unhideWhenUsed/>
    <w:rsid w:val="006454E2"/>
    <w:pPr>
      <w:tabs>
        <w:tab w:val="center" w:pos="4680"/>
        <w:tab w:val="right" w:pos="9360"/>
      </w:tabs>
    </w:pPr>
  </w:style>
  <w:style w:type="character" w:customStyle="1" w:styleId="FooterChar">
    <w:name w:val="Footer Char"/>
    <w:basedOn w:val="DefaultParagraphFont"/>
    <w:link w:val="Footer"/>
    <w:uiPriority w:val="99"/>
    <w:semiHidden/>
    <w:rsid w:val="006454E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71f120-10a9-4420-839a-3be79a53d7ab" xsi:nil="true"/>
    <lcf76f155ced4ddcb4097134ff3c332f xmlns="3d8300ea-0cf1-402b-b038-afa07bb22c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17A637443D5641A25E9191280F4D77" ma:contentTypeVersion="11" ma:contentTypeDescription="Create a new document." ma:contentTypeScope="" ma:versionID="ed851ff65ebf5c751f4f960ff79112c7">
  <xsd:schema xmlns:xsd="http://www.w3.org/2001/XMLSchema" xmlns:xs="http://www.w3.org/2001/XMLSchema" xmlns:p="http://schemas.microsoft.com/office/2006/metadata/properties" xmlns:ns2="3d8300ea-0cf1-402b-b038-afa07bb22c19" xmlns:ns3="fc71f120-10a9-4420-839a-3be79a53d7ab" targetNamespace="http://schemas.microsoft.com/office/2006/metadata/properties" ma:root="true" ma:fieldsID="e3d2af095fe10077f14c6f477ebc315e" ns2:_="" ns3:_="">
    <xsd:import namespace="3d8300ea-0cf1-402b-b038-afa07bb22c19"/>
    <xsd:import namespace="fc71f120-10a9-4420-839a-3be79a53d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300ea-0cf1-402b-b038-afa07bb22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b17677-db40-476a-8f5d-f0026e4b49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71f120-10a9-4420-839a-3be79a53d7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a6f001-e906-478e-a97c-5ef1776b186c}" ma:internalName="TaxCatchAll" ma:showField="CatchAllData" ma:web="fc71f120-10a9-4420-839a-3be79a53d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09F2D-9AC1-49F6-A40C-54FEE4BDD324}">
  <ds:schemaRefs>
    <ds:schemaRef ds:uri="http://schemas.microsoft.com/office/2006/metadata/properties"/>
    <ds:schemaRef ds:uri="http://schemas.microsoft.com/office/infopath/2007/PartnerControls"/>
    <ds:schemaRef ds:uri="fc71f120-10a9-4420-839a-3be79a53d7ab"/>
    <ds:schemaRef ds:uri="3d8300ea-0cf1-402b-b038-afa07bb22c19"/>
  </ds:schemaRefs>
</ds:datastoreItem>
</file>

<file path=customXml/itemProps2.xml><?xml version="1.0" encoding="utf-8"?>
<ds:datastoreItem xmlns:ds="http://schemas.openxmlformats.org/officeDocument/2006/customXml" ds:itemID="{989A7EB5-1E49-40B2-AEA5-01D320C0E569}">
  <ds:schemaRefs>
    <ds:schemaRef ds:uri="http://schemas.microsoft.com/sharepoint/v3/contenttype/forms"/>
  </ds:schemaRefs>
</ds:datastoreItem>
</file>

<file path=customXml/itemProps3.xml><?xml version="1.0" encoding="utf-8"?>
<ds:datastoreItem xmlns:ds="http://schemas.openxmlformats.org/officeDocument/2006/customXml" ds:itemID="{5ACDD0F6-2D93-4582-AB1F-E3EDA228B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300ea-0cf1-402b-b038-afa07bb22c19"/>
    <ds:schemaRef ds:uri="fc71f120-10a9-4420-839a-3be79a53d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3334</Words>
  <Characters>19007</Characters>
  <Application>Microsoft Office Word</Application>
  <DocSecurity>4</DocSecurity>
  <Lines>158</Lines>
  <Paragraphs>44</Paragraphs>
  <ScaleCrop>false</ScaleCrop>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Agrima Shankar</cp:lastModifiedBy>
  <cp:revision>21</cp:revision>
  <dcterms:created xsi:type="dcterms:W3CDTF">2026-04-14T16:06:00Z</dcterms:created>
  <dcterms:modified xsi:type="dcterms:W3CDTF">2026-04-29T11:11:00Z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0x0101001917A637443D5641A25E9191280F4D77</vt:lpwstr>
  </property>
  <property fmtid="{D5CDD505-2E9C-101B-9397-08002B2CF9AE}" pid="3" name="MediaServiceImageTags">
    <vt:lpwstr/>
  </property>
</Properties>
</file>